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tabs>
          <w:tab w:val="center" w:pos="4536"/>
          <w:tab w:val="right" w:pos="9072"/>
        </w:tabs>
        <w:spacing w:before="120"/>
        <w:rPr>
          <w:rFonts w:hint="default" w:ascii="Arial" w:hAnsi="Arial" w:cs="Arial" w:eastAsiaTheme="minorEastAsia"/>
          <w:b/>
          <w:bCs/>
          <w:sz w:val="22"/>
          <w:szCs w:val="22"/>
          <w:lang w:val="en-US" w:eastAsia="zh-CN"/>
        </w:rPr>
      </w:pPr>
      <w:bookmarkStart w:id="0" w:name="OLE_LINK26"/>
      <w:bookmarkStart w:id="1" w:name="OLE_LINK25"/>
      <w:r>
        <w:rPr>
          <w:rFonts w:ascii="Arial" w:hAnsi="Arial" w:cs="Arial"/>
          <w:b/>
          <w:bCs/>
          <w:sz w:val="22"/>
          <w:szCs w:val="22"/>
        </w:rPr>
        <w:t>3GPP TSG RAN WG1 #1</w:t>
      </w:r>
      <w:r>
        <w:rPr>
          <w:rFonts w:hint="eastAsia" w:ascii="Arial" w:hAnsi="Arial" w:cs="Arial" w:eastAsiaTheme="minorEastAsia"/>
          <w:b/>
          <w:bCs/>
          <w:sz w:val="22"/>
          <w:szCs w:val="22"/>
          <w:lang w:eastAsia="zh-CN"/>
        </w:rPr>
        <w:t>2</w:t>
      </w:r>
      <w:r>
        <w:rPr>
          <w:rFonts w:hint="eastAsia" w:ascii="Arial" w:hAnsi="Arial" w:cs="Arial" w:eastAsiaTheme="minorEastAsia"/>
          <w:b/>
          <w:bCs/>
          <w:sz w:val="22"/>
          <w:szCs w:val="22"/>
          <w:lang w:val="en-US" w:eastAsia="zh-CN"/>
        </w:rPr>
        <w:t>2b</w:t>
      </w:r>
      <w:r>
        <w:rPr>
          <w:rFonts w:ascii="Arial" w:hAnsi="Arial" w:cs="Arial"/>
          <w:b/>
          <w:bCs/>
          <w:sz w:val="22"/>
          <w:szCs w:val="22"/>
        </w:rPr>
        <w:t xml:space="preserve">                                                                            </w:t>
      </w:r>
      <w:r>
        <w:rPr>
          <w:rFonts w:hint="eastAsia" w:ascii="Arial" w:hAnsi="Arial" w:cs="Arial" w:eastAsiaTheme="minorEastAsia"/>
          <w:b/>
          <w:bCs/>
          <w:sz w:val="22"/>
          <w:szCs w:val="22"/>
          <w:lang w:eastAsia="zh-CN"/>
        </w:rPr>
        <w:t>R1-2600136</w:t>
      </w:r>
    </w:p>
    <w:bookmarkEnd w:id="0"/>
    <w:bookmarkEnd w:id="1"/>
    <w:p w14:paraId="3D6B18EF">
      <w:pPr>
        <w:spacing w:before="120"/>
        <w:rPr>
          <w:rFonts w:ascii="Arial" w:hAnsi="Arial" w:cs="Arial" w:eastAsiaTheme="minorEastAsia"/>
          <w:b/>
          <w:bCs/>
          <w:sz w:val="22"/>
          <w:szCs w:val="22"/>
          <w:lang w:eastAsia="zh-CN"/>
        </w:rPr>
      </w:pPr>
      <w:r>
        <w:rPr>
          <w:rFonts w:hint="eastAsia" w:ascii="Arial" w:hAnsi="Arial" w:cs="Arial" w:eastAsiaTheme="minorEastAsia"/>
          <w:b/>
          <w:bCs/>
          <w:sz w:val="22"/>
          <w:szCs w:val="22"/>
          <w:lang w:eastAsia="zh-CN"/>
        </w:rPr>
        <w:t xml:space="preserve">Gothenburg Metropolitan Area , SE, </w:t>
      </w:r>
      <w:r>
        <w:rPr>
          <w:rFonts w:hint="eastAsia" w:ascii="Arial" w:hAnsi="Arial" w:cs="Arial" w:eastAsiaTheme="minorEastAsia"/>
          <w:b/>
          <w:bCs/>
          <w:sz w:val="22"/>
          <w:szCs w:val="22"/>
          <w:lang w:val="en-US" w:eastAsia="zh-CN"/>
        </w:rPr>
        <w:t>09</w:t>
      </w:r>
      <w:r>
        <w:rPr>
          <w:rFonts w:hint="eastAsia" w:ascii="Arial" w:hAnsi="Arial" w:cs="Arial" w:eastAsiaTheme="minorEastAsia"/>
          <w:b/>
          <w:bCs/>
          <w:sz w:val="22"/>
          <w:szCs w:val="22"/>
          <w:lang w:eastAsia="zh-CN"/>
        </w:rPr>
        <w:t>-1</w:t>
      </w:r>
      <w:r>
        <w:rPr>
          <w:rFonts w:hint="eastAsia" w:ascii="Arial" w:hAnsi="Arial" w:cs="Arial" w:eastAsiaTheme="minorEastAsia"/>
          <w:b/>
          <w:bCs/>
          <w:sz w:val="22"/>
          <w:szCs w:val="22"/>
          <w:lang w:val="en-US" w:eastAsia="zh-CN"/>
        </w:rPr>
        <w:t>3</w:t>
      </w:r>
      <w:r>
        <w:rPr>
          <w:rFonts w:hint="eastAsia"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February</w:t>
      </w:r>
      <w:r>
        <w:rPr>
          <w:rFonts w:hint="eastAsia" w:ascii="Arial" w:hAnsi="Arial" w:cs="Arial" w:eastAsiaTheme="minorEastAsia"/>
          <w:b/>
          <w:bCs/>
          <w:sz w:val="22"/>
          <w:szCs w:val="22"/>
          <w:lang w:eastAsia="zh-CN"/>
        </w:rPr>
        <w:t>, 202</w:t>
      </w:r>
      <w:r>
        <w:rPr>
          <w:rFonts w:hint="eastAsia" w:ascii="Arial" w:hAnsi="Arial" w:cs="Arial" w:eastAsiaTheme="minorEastAsia"/>
          <w:b/>
          <w:bCs/>
          <w:sz w:val="22"/>
          <w:szCs w:val="22"/>
          <w:lang w:val="en-US" w:eastAsia="zh-CN"/>
        </w:rPr>
        <w:t>6</w:t>
      </w:r>
    </w:p>
    <w:p w14:paraId="672514FD">
      <w:pPr>
        <w:pStyle w:val="16"/>
        <w:rPr>
          <w:rFonts w:eastAsia="MS Mincho" w:cs="Arial"/>
          <w:bCs/>
          <w:sz w:val="22"/>
        </w:rPr>
      </w:pPr>
    </w:p>
    <w:p w14:paraId="14A30A3A">
      <w:pPr>
        <w:pStyle w:val="16"/>
        <w:tabs>
          <w:tab w:val="left" w:pos="1800"/>
        </w:tabs>
        <w:spacing w:before="120"/>
        <w:rPr>
          <w:rFonts w:cs="Arial"/>
          <w:sz w:val="22"/>
        </w:rPr>
      </w:pPr>
      <w:bookmarkStart w:id="2" w:name="OLE_LINK14"/>
      <w:bookmarkStart w:id="3" w:name="OLE_LINK13"/>
      <w:r>
        <w:rPr>
          <w:rFonts w:cs="Arial"/>
          <w:sz w:val="22"/>
        </w:rPr>
        <w:t>Source:</w:t>
      </w:r>
      <w:r>
        <w:rPr>
          <w:rFonts w:cs="Arial"/>
          <w:sz w:val="22"/>
        </w:rPr>
        <w:tab/>
      </w:r>
      <w:r>
        <w:rPr>
          <w:rFonts w:hint="eastAsia" w:eastAsia="宋体" w:cs="Arial"/>
          <w:sz w:val="22"/>
          <w:lang w:eastAsia="zh-CN"/>
        </w:rPr>
        <w:t>SageRAN</w:t>
      </w:r>
    </w:p>
    <w:p w14:paraId="4DCBFE27">
      <w:pPr>
        <w:pStyle w:val="16"/>
        <w:tabs>
          <w:tab w:val="left" w:pos="1800"/>
        </w:tabs>
        <w:spacing w:before="120"/>
        <w:rPr>
          <w:rFonts w:eastAsia="宋体" w:cs="Arial"/>
          <w:sz w:val="22"/>
          <w:lang w:eastAsia="zh-CN"/>
        </w:rPr>
      </w:pPr>
      <w:r>
        <w:rPr>
          <w:rFonts w:cs="Arial"/>
          <w:sz w:val="22"/>
        </w:rPr>
        <w:t>Title:</w:t>
      </w:r>
      <w:r>
        <w:rPr>
          <w:rFonts w:cs="Arial"/>
          <w:sz w:val="22"/>
        </w:rPr>
        <w:tab/>
      </w:r>
      <w:r>
        <w:rPr>
          <w:rFonts w:hint="eastAsia" w:cs="Arial"/>
          <w:sz w:val="22"/>
        </w:rPr>
        <w:t>Discussion on NR-NTN GNSS resilience</w:t>
      </w:r>
    </w:p>
    <w:p w14:paraId="25E20905">
      <w:pPr>
        <w:pStyle w:val="16"/>
        <w:tabs>
          <w:tab w:val="left" w:pos="1800"/>
        </w:tabs>
        <w:spacing w:before="120"/>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10.7.2</w:t>
      </w:r>
    </w:p>
    <w:p w14:paraId="6B80B90A">
      <w:pPr>
        <w:pStyle w:val="16"/>
        <w:tabs>
          <w:tab w:val="left" w:pos="1800"/>
        </w:tabs>
        <w:spacing w:before="120"/>
        <w:rPr>
          <w:rFonts w:eastAsia="宋体" w:cs="Arial"/>
          <w:sz w:val="28"/>
          <w:lang w:eastAsia="zh-CN"/>
        </w:rPr>
      </w:pPr>
      <w:r>
        <w:rPr>
          <w:rFonts w:cs="Arial"/>
          <w:sz w:val="22"/>
        </w:rPr>
        <w:t>Document for:</w:t>
      </w:r>
      <w:r>
        <w:rPr>
          <w:rFonts w:cs="Arial"/>
          <w:sz w:val="22"/>
        </w:rPr>
        <w:tab/>
      </w:r>
      <w:r>
        <w:rPr>
          <w:rFonts w:cs="Arial"/>
          <w:sz w:val="22"/>
        </w:rPr>
        <w:t>Discussion</w:t>
      </w:r>
      <w:r>
        <w:rPr>
          <w:rFonts w:eastAsia="宋体" w:cs="Arial"/>
          <w:sz w:val="22"/>
          <w:lang w:eastAsia="zh-CN"/>
        </w:rPr>
        <w:t xml:space="preserve"> and Decision</w:t>
      </w:r>
    </w:p>
    <w:p w14:paraId="4447A5A0">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410CA7CD">
      <w:pPr>
        <w:jc w:val="both"/>
        <w:rPr>
          <w:rFonts w:hint="default" w:eastAsia="宋体"/>
          <w:color w:val="312E25"/>
          <w:sz w:val="20"/>
          <w:szCs w:val="20"/>
          <w:lang w:val="en-US" w:eastAsia="zh-CN"/>
        </w:rPr>
      </w:pPr>
      <w:r>
        <w:rPr>
          <w:rFonts w:hint="eastAsia" w:eastAsia="宋体"/>
          <w:color w:val="312E25"/>
          <w:sz w:val="20"/>
          <w:szCs w:val="20"/>
          <w:lang w:val="en-US" w:eastAsia="zh-CN"/>
        </w:rPr>
        <w:t xml:space="preserve">A study on GNSS resilient NR-NTN operation was introduced as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_Ref15855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[1]</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w:t>
      </w:r>
    </w:p>
    <w:p w14:paraId="2AD312E5">
      <w:pPr>
        <w:rPr>
          <w:rFonts w:hint="eastAsia" w:eastAsia="宋体"/>
          <w:color w:val="312E25"/>
          <w:sz w:val="20"/>
          <w:szCs w:val="20"/>
          <w:lang w:val="en-US" w:eastAsia="zh-CN"/>
        </w:rPr>
      </w:pPr>
    </w:p>
    <w:p w14:paraId="344AD979">
      <w:pPr>
        <w:rPr>
          <w:rFonts w:ascii="Times New Roman" w:hAnsi="Times New Roman"/>
          <w:sz w:val="20"/>
          <w:szCs w:val="20"/>
          <w:lang w:eastAsia="zh-CN"/>
        </w:rPr>
      </w:pPr>
      <w:r>
        <w:rPr>
          <w:rFonts w:hint="eastAsia" w:eastAsia="宋体"/>
          <w:color w:val="312E25"/>
          <w:sz w:val="20"/>
          <w:szCs w:val="20"/>
          <w:lang w:val="en-US" w:eastAsia="zh-CN"/>
        </w:rPr>
        <w:t xml:space="preserve">According to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_Ref19397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[2]</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xml:space="preserve">, </w:t>
      </w:r>
      <w:r>
        <w:rPr>
          <w:rFonts w:ascii="Times New Roman" w:hAnsi="Times New Roman"/>
          <w:sz w:val="20"/>
          <w:szCs w:val="20"/>
          <w:lang w:eastAsia="zh-CN"/>
        </w:rPr>
        <w:t xml:space="preserve">SI </w:t>
      </w:r>
      <w:r>
        <w:rPr>
          <w:rFonts w:hint="eastAsia"/>
          <w:sz w:val="20"/>
          <w:szCs w:val="20"/>
          <w:lang w:val="en-US" w:eastAsia="zh-CN"/>
        </w:rPr>
        <w:t>o</w:t>
      </w:r>
      <w:r>
        <w:rPr>
          <w:rFonts w:ascii="Times New Roman" w:hAnsi="Times New Roman"/>
          <w:sz w:val="20"/>
          <w:szCs w:val="20"/>
          <w:lang w:eastAsia="zh-CN"/>
        </w:rPr>
        <w:t xml:space="preserve">bjectives are: </w:t>
      </w:r>
    </w:p>
    <w:tbl>
      <w:tblPr>
        <w:tblStyle w:val="23"/>
        <w:tblW w:w="9608"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08"/>
      </w:tblGrid>
      <w:tr w14:paraId="0E328A7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08" w:type="dxa"/>
          </w:tcPr>
          <w:p w14:paraId="3685C974">
            <w:pPr>
              <w:rPr>
                <w:sz w:val="20"/>
                <w:szCs w:val="20"/>
                <w:lang w:val="en-US"/>
              </w:rPr>
            </w:pPr>
            <w:r>
              <w:rPr>
                <w:sz w:val="20"/>
                <w:szCs w:val="20"/>
                <w:lang w:val="en-US"/>
              </w:rPr>
              <w:t>The study will be carried assuming that</w:t>
            </w:r>
          </w:p>
          <w:p w14:paraId="458E4075">
            <w:pPr>
              <w:numPr>
                <w:ilvl w:val="0"/>
                <w:numId w:val="7"/>
              </w:numPr>
              <w:suppressAutoHyphens w:val="0"/>
              <w:spacing w:before="0" w:after="0" w:line="276" w:lineRule="auto"/>
              <w:jc w:val="left"/>
              <w:textAlignment w:val="baseline"/>
              <w:rPr>
                <w:sz w:val="20"/>
                <w:szCs w:val="20"/>
                <w:lang w:val="en-US"/>
              </w:rPr>
            </w:pPr>
            <w:r>
              <w:rPr>
                <w:sz w:val="20"/>
                <w:szCs w:val="20"/>
                <w:lang w:val="en-US"/>
              </w:rPr>
              <w:t>The GNSS information in UE with GNSS capability may be 1/ temporarily unavailable or 2/ available but with GNSS position accuracy degradation or 3/ available but with increased GNSS measurement period for power saving purpose</w:t>
            </w:r>
          </w:p>
          <w:p w14:paraId="7D4B8FC2">
            <w:pPr>
              <w:numPr>
                <w:ilvl w:val="1"/>
                <w:numId w:val="8"/>
              </w:numPr>
              <w:suppressAutoHyphens w:val="0"/>
              <w:spacing w:before="0" w:after="0"/>
              <w:jc w:val="left"/>
              <w:textAlignment w:val="baseline"/>
              <w:rPr>
                <w:sz w:val="20"/>
                <w:szCs w:val="20"/>
                <w:lang w:val="en-US"/>
              </w:rPr>
            </w:pPr>
            <w:r>
              <w:rPr>
                <w:sz w:val="20"/>
                <w:szCs w:val="20"/>
                <w:lang w:val="en-US"/>
              </w:rPr>
              <w:t>This study will initially focus on 1/ (where GNSS information is temporarily unavailable)</w:t>
            </w:r>
          </w:p>
          <w:p w14:paraId="56D6FBB6">
            <w:pPr>
              <w:numPr>
                <w:ilvl w:val="1"/>
                <w:numId w:val="8"/>
              </w:numPr>
              <w:suppressAutoHyphens w:val="0"/>
              <w:spacing w:before="0" w:after="0"/>
              <w:jc w:val="left"/>
              <w:textAlignment w:val="baseline"/>
              <w:rPr>
                <w:sz w:val="20"/>
                <w:szCs w:val="20"/>
                <w:lang w:val="en-US"/>
              </w:rPr>
            </w:pPr>
            <w:r>
              <w:rPr>
                <w:sz w:val="20"/>
                <w:szCs w:val="20"/>
                <w:lang w:val="en-US"/>
              </w:rPr>
              <w:t>Note: This study does not include any enhancement on positioning for the above scenario</w:t>
            </w:r>
          </w:p>
          <w:p w14:paraId="1083673C">
            <w:pPr>
              <w:rPr>
                <w:sz w:val="20"/>
                <w:szCs w:val="20"/>
                <w:lang w:val="en-US"/>
              </w:rPr>
            </w:pPr>
          </w:p>
          <w:p w14:paraId="1C1C34C7">
            <w:pPr>
              <w:rPr>
                <w:sz w:val="20"/>
                <w:szCs w:val="20"/>
                <w:lang w:val="en-US"/>
              </w:rPr>
            </w:pPr>
            <w:r>
              <w:rPr>
                <w:sz w:val="20"/>
                <w:szCs w:val="20"/>
                <w:lang w:val="en-US"/>
              </w:rPr>
              <w:t>Study GNSS resilient NR-NTN operation [RAN1, RAN4]</w:t>
            </w:r>
          </w:p>
          <w:p w14:paraId="012170D1">
            <w:pPr>
              <w:numPr>
                <w:ilvl w:val="0"/>
                <w:numId w:val="7"/>
              </w:numPr>
              <w:suppressAutoHyphens w:val="0"/>
              <w:spacing w:before="0" w:after="0" w:line="276" w:lineRule="auto"/>
              <w:jc w:val="left"/>
              <w:textAlignment w:val="baseline"/>
              <w:rPr>
                <w:sz w:val="20"/>
                <w:szCs w:val="20"/>
                <w:lang w:val="en-US"/>
              </w:rPr>
            </w:pPr>
            <w:r>
              <w:rPr>
                <w:sz w:val="20"/>
                <w:szCs w:val="20"/>
                <w:lang w:val="en-US"/>
              </w:rPr>
              <w:t xml:space="preserve">Assess impact on initial access and connected mode procedures for NR-NTN, including potential implications if any on RAN4 RRM specifications </w:t>
            </w:r>
          </w:p>
          <w:p w14:paraId="7AF1B014">
            <w:pPr>
              <w:numPr>
                <w:ilvl w:val="1"/>
                <w:numId w:val="8"/>
              </w:numPr>
              <w:suppressAutoHyphens w:val="0"/>
              <w:spacing w:before="0" w:after="0"/>
              <w:jc w:val="left"/>
              <w:textAlignment w:val="baseline"/>
              <w:rPr>
                <w:sz w:val="20"/>
                <w:szCs w:val="20"/>
                <w:lang w:val="en-US"/>
              </w:rPr>
            </w:pPr>
            <w:r>
              <w:rPr>
                <w:sz w:val="20"/>
                <w:szCs w:val="20"/>
                <w:lang w:val="en-US"/>
              </w:rPr>
              <w:t xml:space="preserve">Aim to minimize physical layer procedures impact </w:t>
            </w:r>
          </w:p>
          <w:p w14:paraId="24FCEB46">
            <w:pPr>
              <w:numPr>
                <w:ilvl w:val="1"/>
                <w:numId w:val="8"/>
              </w:numPr>
              <w:suppressAutoHyphens w:val="0"/>
              <w:spacing w:before="0" w:after="0"/>
              <w:jc w:val="left"/>
              <w:textAlignment w:val="baseline"/>
              <w:rPr>
                <w:sz w:val="20"/>
                <w:szCs w:val="20"/>
                <w:lang w:val="en-US"/>
              </w:rPr>
            </w:pPr>
            <w:r>
              <w:rPr>
                <w:sz w:val="20"/>
                <w:szCs w:val="20"/>
                <w:lang w:val="en-US"/>
              </w:rPr>
              <w:t>Avoid physical layer channel/signal changes</w:t>
            </w:r>
          </w:p>
          <w:p w14:paraId="15DAB320">
            <w:pPr>
              <w:numPr>
                <w:ilvl w:val="1"/>
                <w:numId w:val="8"/>
              </w:numPr>
              <w:suppressAutoHyphens w:val="0"/>
              <w:spacing w:before="0" w:after="0"/>
              <w:jc w:val="left"/>
              <w:textAlignment w:val="baseline"/>
              <w:rPr>
                <w:sz w:val="20"/>
                <w:szCs w:val="20"/>
                <w:lang w:val="en-US"/>
              </w:rPr>
            </w:pPr>
            <w:r>
              <w:rPr>
                <w:sz w:val="20"/>
                <w:szCs w:val="20"/>
                <w:lang w:val="en-US"/>
              </w:rPr>
              <w:t xml:space="preserve">Backward compatible issues with legacy NTN capable UEs will be assessed and should be prevented </w:t>
            </w:r>
          </w:p>
          <w:p w14:paraId="02168C2D">
            <w:pPr>
              <w:numPr>
                <w:ilvl w:val="1"/>
                <w:numId w:val="8"/>
              </w:numPr>
              <w:suppressAutoHyphens w:val="0"/>
              <w:spacing w:before="0" w:after="0"/>
              <w:jc w:val="left"/>
              <w:textAlignment w:val="baseline"/>
              <w:rPr>
                <w:sz w:val="20"/>
                <w:szCs w:val="20"/>
                <w:lang w:val="en-US"/>
              </w:rPr>
            </w:pPr>
            <w:r>
              <w:rPr>
                <w:sz w:val="20"/>
                <w:szCs w:val="20"/>
                <w:lang w:val="en-US"/>
              </w:rPr>
              <w:t>Applicable to NGSO and GSO constellations, NTN operating in below and in above 10 GHz frequency bands, transparent and regenerative satellites</w:t>
            </w:r>
          </w:p>
          <w:p w14:paraId="360C3AA5">
            <w:pPr>
              <w:numPr>
                <w:ilvl w:val="0"/>
                <w:numId w:val="7"/>
              </w:numPr>
              <w:suppressAutoHyphens w:val="0"/>
              <w:spacing w:before="0" w:after="0" w:line="276" w:lineRule="auto"/>
              <w:jc w:val="left"/>
              <w:textAlignment w:val="baseline"/>
              <w:rPr>
                <w:sz w:val="20"/>
                <w:szCs w:val="20"/>
                <w:lang w:val="en-US"/>
              </w:rPr>
            </w:pPr>
            <w:r>
              <w:rPr>
                <w:sz w:val="20"/>
                <w:szCs w:val="20"/>
                <w:lang w:val="en-US"/>
              </w:rPr>
              <w:t>Check in RAN#112 (June, 2026) to decide whether to proceed with normative work, extend the study item, or postpone normative work to Release 21</w:t>
            </w:r>
          </w:p>
        </w:tc>
      </w:tr>
    </w:tbl>
    <w:p w14:paraId="51927952">
      <w:pPr>
        <w:jc w:val="both"/>
        <w:rPr>
          <w:rFonts w:hint="default" w:eastAsia="宋体"/>
          <w:color w:val="312E25"/>
          <w:sz w:val="20"/>
          <w:szCs w:val="20"/>
          <w:lang w:val="en-US" w:eastAsia="zh-CN"/>
        </w:rPr>
      </w:pPr>
    </w:p>
    <w:p w14:paraId="0D9D5842">
      <w:pPr>
        <w:rPr>
          <w:rFonts w:hint="default"/>
          <w:sz w:val="20"/>
          <w:szCs w:val="20"/>
          <w:lang w:val="en-US" w:eastAsia="zh-CN"/>
        </w:rPr>
      </w:pPr>
      <w:r>
        <w:rPr>
          <w:rFonts w:hint="eastAsia" w:eastAsia="宋体"/>
          <w:color w:val="312E25"/>
          <w:sz w:val="20"/>
          <w:szCs w:val="20"/>
          <w:lang w:val="en-US" w:eastAsia="zh-CN"/>
        </w:rPr>
        <w:t xml:space="preserve">Based on the summary in </w:t>
      </w:r>
      <w:r>
        <w:rPr>
          <w:rFonts w:hint="eastAsia" w:eastAsia="宋体"/>
          <w:color w:val="312E25"/>
          <w:sz w:val="20"/>
          <w:szCs w:val="20"/>
          <w:lang w:val="en-US" w:eastAsia="zh-CN"/>
        </w:rPr>
        <w:fldChar w:fldCharType="begin"/>
      </w:r>
      <w:r>
        <w:rPr>
          <w:rFonts w:hint="eastAsia" w:eastAsia="宋体"/>
          <w:color w:val="312E25"/>
          <w:sz w:val="20"/>
          <w:szCs w:val="20"/>
          <w:lang w:val="en-US" w:eastAsia="zh-CN"/>
        </w:rPr>
        <w:instrText xml:space="preserve"> REF _Ref19397 \n \h </w:instrText>
      </w:r>
      <w:r>
        <w:rPr>
          <w:rFonts w:hint="eastAsia" w:eastAsia="宋体"/>
          <w:color w:val="312E25"/>
          <w:sz w:val="20"/>
          <w:szCs w:val="20"/>
          <w:lang w:val="en-US" w:eastAsia="zh-CN"/>
        </w:rPr>
        <w:fldChar w:fldCharType="separate"/>
      </w:r>
      <w:r>
        <w:rPr>
          <w:rFonts w:hint="eastAsia" w:eastAsia="宋体"/>
          <w:color w:val="312E25"/>
          <w:sz w:val="20"/>
          <w:szCs w:val="20"/>
          <w:lang w:val="en-US" w:eastAsia="zh-CN"/>
        </w:rPr>
        <w:t>[2]</w:t>
      </w:r>
      <w:r>
        <w:rPr>
          <w:rFonts w:hint="eastAsia" w:eastAsia="宋体"/>
          <w:color w:val="312E25"/>
          <w:sz w:val="20"/>
          <w:szCs w:val="20"/>
          <w:lang w:val="en-US" w:eastAsia="zh-CN"/>
        </w:rPr>
        <w:fldChar w:fldCharType="end"/>
      </w:r>
      <w:r>
        <w:rPr>
          <w:rFonts w:hint="eastAsia" w:eastAsia="宋体"/>
          <w:color w:val="312E25"/>
          <w:sz w:val="20"/>
          <w:szCs w:val="20"/>
          <w:lang w:val="en-US" w:eastAsia="zh-CN"/>
        </w:rPr>
        <w:t xml:space="preserve">, </w:t>
      </w:r>
      <w:r>
        <w:rPr>
          <w:rFonts w:hint="eastAsia"/>
          <w:sz w:val="20"/>
          <w:szCs w:val="20"/>
          <w:lang w:val="en-US" w:eastAsia="zh-CN"/>
        </w:rPr>
        <w:t xml:space="preserve">further discussion is </w:t>
      </w:r>
      <w:r>
        <w:rPr>
          <w:rFonts w:hint="eastAsia" w:eastAsia="宋体"/>
          <w:color w:val="312E25"/>
          <w:sz w:val="20"/>
          <w:szCs w:val="20"/>
          <w:lang w:val="en-US" w:eastAsia="zh-CN"/>
        </w:rPr>
        <w:t xml:space="preserve">continued for </w:t>
      </w:r>
      <w:r>
        <w:rPr>
          <w:bCs/>
          <w:sz w:val="20"/>
          <w:szCs w:val="20"/>
          <w:lang w:eastAsia="zh-CN"/>
        </w:rPr>
        <w:t>GNSS-resilient</w:t>
      </w:r>
      <w:r>
        <w:rPr>
          <w:rFonts w:hint="eastAsia"/>
          <w:bCs/>
          <w:sz w:val="20"/>
          <w:szCs w:val="20"/>
          <w:lang w:val="en-US" w:eastAsia="zh-CN"/>
        </w:rPr>
        <w:t xml:space="preserve"> in </w:t>
      </w:r>
      <w:r>
        <w:rPr>
          <w:rFonts w:hint="eastAsia"/>
          <w:sz w:val="20"/>
          <w:szCs w:val="20"/>
          <w:lang w:val="en-US" w:eastAsia="zh-CN"/>
        </w:rPr>
        <w:t>RAN1#124.</w:t>
      </w:r>
    </w:p>
    <w:p w14:paraId="6B565C19">
      <w:pPr>
        <w:rPr>
          <w:sz w:val="20"/>
          <w:szCs w:val="20"/>
          <w:lang w:eastAsia="zh-CN"/>
        </w:rPr>
      </w:pPr>
    </w:p>
    <w:p w14:paraId="7BFC20AA">
      <w:pPr>
        <w:rPr>
          <w:rFonts w:hint="eastAsia" w:eastAsia="宋体"/>
          <w:color w:val="312E25"/>
          <w:sz w:val="20"/>
          <w:szCs w:val="20"/>
          <w:lang w:val="en-US" w:eastAsia="zh-CN"/>
        </w:rPr>
      </w:pPr>
      <w:r>
        <w:rPr>
          <w:rFonts w:hint="eastAsia" w:eastAsia="宋体"/>
          <w:color w:val="312E25"/>
          <w:sz w:val="20"/>
          <w:szCs w:val="20"/>
          <w:lang w:val="en-US" w:eastAsia="zh-CN"/>
        </w:rPr>
        <w:t>In this contribution, we discuss the following aspects of GNSS resilience:</w:t>
      </w:r>
    </w:p>
    <w:p w14:paraId="127E12FF">
      <w:pPr>
        <w:numPr>
          <w:ilvl w:val="0"/>
          <w:numId w:val="9"/>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Pre-compensation of Common TA / Doppler on the service link</w:t>
      </w:r>
    </w:p>
    <w:p w14:paraId="4363F4CC">
      <w:pPr>
        <w:numPr>
          <w:ilvl w:val="0"/>
          <w:numId w:val="9"/>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Potential solutions for PRACH</w:t>
      </w:r>
    </w:p>
    <w:p w14:paraId="746F9668">
      <w:pPr>
        <w:numPr>
          <w:ilvl w:val="0"/>
          <w:numId w:val="9"/>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Potential solutions for connected mode</w:t>
      </w:r>
    </w:p>
    <w:p w14:paraId="080338B5">
      <w:pPr>
        <w:numPr>
          <w:ilvl w:val="0"/>
          <w:numId w:val="9"/>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RAT dependent positioning method</w:t>
      </w:r>
    </w:p>
    <w:p w14:paraId="7428884D">
      <w:pPr>
        <w:numPr>
          <w:ilvl w:val="0"/>
          <w:numId w:val="9"/>
        </w:numPr>
        <w:ind w:left="420" w:leftChars="0" w:hanging="420" w:firstLineChars="0"/>
        <w:rPr>
          <w:rFonts w:hint="eastAsia" w:eastAsia="宋体"/>
          <w:color w:val="312E25"/>
          <w:sz w:val="20"/>
          <w:szCs w:val="20"/>
          <w:lang w:val="en-US" w:eastAsia="zh-CN"/>
        </w:rPr>
      </w:pPr>
      <w:r>
        <w:rPr>
          <w:rFonts w:hint="eastAsia" w:eastAsia="宋体"/>
          <w:color w:val="312E25"/>
          <w:sz w:val="20"/>
          <w:szCs w:val="20"/>
          <w:lang w:val="en-US" w:eastAsia="zh-CN"/>
        </w:rPr>
        <w:t>GNSS Status reporting and control</w:t>
      </w:r>
    </w:p>
    <w:p w14:paraId="2E261AA5">
      <w:pPr>
        <w:spacing w:after="120"/>
        <w:jc w:val="both"/>
        <w:rPr>
          <w:rFonts w:hint="default" w:eastAsia="宋体"/>
          <w:color w:val="312E25"/>
          <w:lang w:val="en-US" w:eastAsia="zh-CN"/>
        </w:rPr>
      </w:pPr>
    </w:p>
    <w:p w14:paraId="5F499824">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4" w:name="_Ref47611271"/>
      <w:bookmarkStart w:id="5" w:name="_Ref47611245"/>
    </w:p>
    <w:p w14:paraId="4F4A923F">
      <w:pPr>
        <w:pStyle w:val="4"/>
        <w:numPr>
          <w:ilvl w:val="1"/>
          <w:numId w:val="5"/>
        </w:numPr>
        <w:bidi w:val="0"/>
        <w:rPr>
          <w:rFonts w:hint="default"/>
          <w:lang w:val="en-US" w:eastAsia="zh-CN"/>
        </w:rPr>
      </w:pPr>
      <w:r>
        <w:rPr>
          <w:rFonts w:hint="eastAsia"/>
          <w:lang w:val="en-US" w:eastAsia="zh-CN"/>
        </w:rPr>
        <w:t xml:space="preserve"> Pre-compensation of Common TA / Doppler on the service link</w:t>
      </w:r>
    </w:p>
    <w:p w14:paraId="66699713">
      <w:pPr>
        <w:rPr>
          <w:rFonts w:hint="eastAsia" w:hAnsi="Cambria Math" w:eastAsia="宋体"/>
          <w:sz w:val="20"/>
          <w:lang w:val="en-US" w:eastAsia="zh-CN"/>
        </w:rPr>
      </w:pPr>
      <w:r>
        <w:rPr>
          <w:rFonts w:hint="eastAsia" w:hAnsi="Cambria Math" w:eastAsia="宋体"/>
          <w:sz w:val="20"/>
          <w:lang w:val="en-US" w:eastAsia="zh-CN"/>
        </w:rPr>
        <w:t>In RAN1#123, several companies broadly support network-assisted uplink time and frequency compensation using reference-based values/Common TA and common Doppler to ensure GNSS-resilient NR-NTN operation, along with the need for further study and enhancement of compensation and signaling mechanisms to optimize synchronization and overhead.</w:t>
      </w:r>
    </w:p>
    <w:p w14:paraId="1C60D230">
      <w:pPr>
        <w:rPr>
          <w:rFonts w:ascii="Times New Roman" w:hAnsi="Times New Roman"/>
          <w:lang w:eastAsia="zh-CN"/>
        </w:rPr>
      </w:pPr>
    </w:p>
    <w:p w14:paraId="7D2AA928">
      <w:pPr>
        <w:pStyle w:val="110"/>
        <w:ind w:left="0" w:firstLine="0"/>
        <w:rPr>
          <w:rFonts w:ascii="Times New Roman" w:hAnsi="Times New Roman"/>
          <w:b/>
          <w:sz w:val="20"/>
          <w:szCs w:val="20"/>
          <w:lang w:val="en-US"/>
        </w:rPr>
      </w:pPr>
      <w:r>
        <w:rPr>
          <w:rFonts w:ascii="Times New Roman" w:hAnsi="Times New Roman"/>
          <w:b/>
          <w:sz w:val="20"/>
          <w:szCs w:val="20"/>
          <w:highlight w:val="yellow"/>
          <w:lang w:val="en-US"/>
        </w:rPr>
        <w:t>Proposal 5-1-v0</w:t>
      </w:r>
    </w:p>
    <w:tbl>
      <w:tblPr>
        <w:tblStyle w:val="23"/>
        <w:tblW w:w="9611"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11"/>
      </w:tblGrid>
      <w:tr w14:paraId="027BD57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11" w:type="dxa"/>
            <w:tcBorders>
              <w:top w:val="single" w:color="000000" w:sz="4" w:space="0"/>
              <w:left w:val="single" w:color="000000" w:sz="4" w:space="0"/>
              <w:bottom w:val="single" w:color="000000" w:sz="4" w:space="0"/>
              <w:right w:val="single" w:color="000000" w:sz="4" w:space="0"/>
            </w:tcBorders>
          </w:tcPr>
          <w:p w14:paraId="7F766A95">
            <w:pPr>
              <w:pStyle w:val="20"/>
              <w:spacing w:before="0" w:after="180"/>
              <w:rPr>
                <w:rFonts w:ascii="Times New Roman" w:hAnsi="Times New Roman" w:eastAsia="MS Gothic" w:cs="Times New Roman"/>
                <w:b/>
                <w:bCs/>
                <w:color w:val="auto"/>
                <w:sz w:val="20"/>
                <w:szCs w:val="20"/>
              </w:rPr>
            </w:pPr>
            <w:r>
              <w:rPr>
                <w:rFonts w:ascii="Times New Roman" w:hAnsi="Times New Roman" w:eastAsia="MS Gothic"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45EB911B">
            <w:pPr>
              <w:pStyle w:val="20"/>
              <w:numPr>
                <w:ilvl w:val="0"/>
                <w:numId w:val="10"/>
              </w:numPr>
              <w:spacing w:before="0" w:after="0"/>
              <w:rPr>
                <w:rFonts w:ascii="Times New Roman" w:hAnsi="Times New Roman" w:eastAsia="MS Gothic" w:cs="Times New Roman"/>
                <w:b/>
                <w:bCs/>
                <w:color w:val="auto"/>
                <w:sz w:val="20"/>
                <w:szCs w:val="20"/>
              </w:rPr>
            </w:pPr>
            <w:r>
              <w:rPr>
                <w:rFonts w:ascii="Times New Roman" w:hAnsi="Times New Roman" w:eastAsia="MS Gothic" w:cs="Times New Roman"/>
                <w:b/>
                <w:bCs/>
                <w:color w:val="auto"/>
                <w:sz w:val="20"/>
                <w:szCs w:val="20"/>
              </w:rPr>
              <w:t xml:space="preserve">A reference location e.g. in case of (quasi)-Earth fixed cell </w:t>
            </w:r>
          </w:p>
          <w:p w14:paraId="07B1027F">
            <w:pPr>
              <w:pStyle w:val="20"/>
              <w:numPr>
                <w:ilvl w:val="0"/>
                <w:numId w:val="10"/>
              </w:numPr>
              <w:spacing w:before="0" w:after="180"/>
              <w:rPr>
                <w:rFonts w:ascii="Times New Roman" w:hAnsi="Times New Roman" w:eastAsia="MS Gothic" w:cs="Times New Roman"/>
                <w:b/>
                <w:bCs/>
                <w:color w:val="auto"/>
                <w:sz w:val="20"/>
                <w:szCs w:val="20"/>
              </w:rPr>
            </w:pPr>
            <w:r>
              <w:rPr>
                <w:rFonts w:ascii="Times New Roman" w:hAnsi="Times New Roman" w:eastAsia="MS Gothic" w:cs="Times New Roman"/>
                <w:b/>
                <w:bCs/>
                <w:color w:val="auto"/>
                <w:sz w:val="20"/>
                <w:szCs w:val="20"/>
              </w:rPr>
              <w:t>A Common TA/Common Doppler relative to service link e.g. in case of moving cell</w:t>
            </w:r>
          </w:p>
        </w:tc>
      </w:tr>
    </w:tbl>
    <w:p w14:paraId="75D3ACE4">
      <w:pPr>
        <w:spacing w:before="120" w:beforeLines="50" w:after="120"/>
        <w:jc w:val="both"/>
        <w:rPr>
          <w:rFonts w:hint="default" w:hAnsi="Cambria Math" w:eastAsia="宋体"/>
          <w:sz w:val="20"/>
          <w:lang w:val="en-US" w:eastAsia="zh-CN"/>
        </w:rPr>
      </w:pPr>
    </w:p>
    <w:p w14:paraId="4303B50F">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Sageran agrees that network-assisted information can help UE to estimate and compensate time and frequency offset. Sageran prefers the option of 1</w:t>
      </w:r>
      <w:r>
        <w:rPr>
          <w:rFonts w:hint="eastAsia" w:hAnsi="Cambria Math" w:eastAsia="宋体"/>
          <w:sz w:val="20"/>
          <w:vertAlign w:val="superscript"/>
          <w:lang w:val="en-US" w:eastAsia="zh-CN"/>
        </w:rPr>
        <w:t>st</w:t>
      </w:r>
      <w:r>
        <w:rPr>
          <w:rFonts w:hint="eastAsia" w:hAnsi="Cambria Math" w:eastAsia="宋体"/>
          <w:sz w:val="20"/>
          <w:lang w:val="en-US" w:eastAsia="zh-CN"/>
        </w:rPr>
        <w:t xml:space="preserve"> bullet,  i.e. the assistance information should be a reference location.</w:t>
      </w:r>
    </w:p>
    <w:p w14:paraId="23D0C02B">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In feeder link, since the gateway location is stationary, common RTT and common Doppler is feasible to be derived from satellite ephemeris and the gateway position. However, in service link, the network has no knowledge of the positions and velocities of UEs. Furthermore, the UEs within the beam coverage may have different positions and velocities.</w:t>
      </w:r>
    </w:p>
    <w:p w14:paraId="27EA8953">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Observation 1: Assistance information of common TA/Doppler in service link may not applicable due to diverse UE positions and velocities.</w:t>
      </w:r>
    </w:p>
    <w:p w14:paraId="53E7F248">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 Assistance information of (moving) reference location is applicable for (quasi) earth fixed cell or moving cell.</w:t>
      </w:r>
    </w:p>
    <w:p w14:paraId="0C1D0DF7">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 xml:space="preserve">It is also noticed that reference location may not be enough to derive accurate TA/Doppler. The reference location in RRC is expressed by IE </w:t>
      </w:r>
      <w:r>
        <w:rPr>
          <w:rFonts w:hint="eastAsia" w:hAnsi="Cambria Math" w:eastAsia="宋体"/>
          <w:i/>
          <w:iCs/>
          <w:sz w:val="20"/>
          <w:lang w:val="en-US" w:eastAsia="zh-CN"/>
        </w:rPr>
        <w:t>Ellipsoid-Point</w:t>
      </w:r>
      <w:r>
        <w:rPr>
          <w:rFonts w:hint="eastAsia" w:hAnsi="Cambria Math" w:eastAsia="宋体"/>
          <w:sz w:val="20"/>
          <w:lang w:val="en-US" w:eastAsia="zh-CN"/>
        </w:rPr>
        <w:t xml:space="preserve"> in LPP, including latitude and longitude but no altitude. If we assume that UE altitude is 0, there may be a significant error on TA estimation, especially for the UE with high altitude.</w:t>
      </w:r>
    </w:p>
    <w:p w14:paraId="0C7AF5C3">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Considering that for most deployment, UE altitude is not changed sharply (e.g. UE in the aircraft during the flight), the last positioning information can be used for TA estimation with reference location.</w:t>
      </w:r>
    </w:p>
    <w:p w14:paraId="6AFC6D95">
      <w:pPr>
        <w:spacing w:before="120" w:beforeLines="50" w:after="120"/>
        <w:jc w:val="both"/>
        <w:rPr>
          <w:rFonts w:hint="eastAsia" w:hAnsi="Cambria Math" w:eastAsia="宋体"/>
          <w:sz w:val="20"/>
          <w:szCs w:val="20"/>
          <w:lang w:val="en-US" w:eastAsia="zh-CN"/>
        </w:rPr>
      </w:pPr>
      <w:r>
        <w:rPr>
          <w:rFonts w:hint="default" w:hAnsi="Cambria Math" w:eastAsia="宋体"/>
          <w:sz w:val="20"/>
          <w:lang w:val="en-US" w:eastAsia="zh-CN"/>
        </w:rPr>
        <w:t>Range estimation based on reference location and UE altitude</w:t>
      </w:r>
      <w:r>
        <w:rPr>
          <w:rFonts w:hint="eastAsia" w:hAnsi="Cambria Math" w:eastAsia="宋体"/>
          <w:sz w:val="20"/>
          <w:lang w:val="en-US" w:eastAsia="zh-CN"/>
        </w:rPr>
        <w:t xml:space="preserve"> is show</w:t>
      </w:r>
      <w:r>
        <w:rPr>
          <w:rFonts w:hint="eastAsia" w:hAnsi="Cambria Math" w:eastAsia="宋体"/>
          <w:sz w:val="20"/>
          <w:szCs w:val="20"/>
          <w:lang w:val="en-US" w:eastAsia="zh-CN"/>
        </w:rPr>
        <w:t xml:space="preserve">n in </w:t>
      </w:r>
      <w:r>
        <w:rPr>
          <w:rFonts w:hint="eastAsia" w:hAnsi="Cambria Math" w:eastAsia="宋体"/>
          <w:sz w:val="20"/>
          <w:szCs w:val="20"/>
          <w:lang w:val="en-US" w:eastAsia="zh-CN"/>
        </w:rPr>
        <w:fldChar w:fldCharType="begin"/>
      </w:r>
      <w:r>
        <w:rPr>
          <w:rFonts w:hint="eastAsia" w:hAnsi="Cambria Math" w:eastAsia="宋体"/>
          <w:sz w:val="20"/>
          <w:szCs w:val="20"/>
          <w:lang w:val="en-US" w:eastAsia="zh-CN"/>
        </w:rPr>
        <w:instrText xml:space="preserve"> REF _Ref29950 \h </w:instrText>
      </w:r>
      <w:r>
        <w:rPr>
          <w:rFonts w:hint="eastAsia" w:hAnsi="Cambria Math" w:eastAsia="宋体"/>
          <w:sz w:val="20"/>
          <w:szCs w:val="20"/>
          <w:lang w:val="en-US" w:eastAsia="zh-CN"/>
        </w:rPr>
        <w:fldChar w:fldCharType="separate"/>
      </w:r>
      <w:r>
        <w:rPr>
          <w:sz w:val="20"/>
          <w:szCs w:val="20"/>
        </w:rPr>
        <w:t>Figure 1</w:t>
      </w:r>
      <w:r>
        <w:rPr>
          <w:rFonts w:hint="eastAsia" w:hAnsi="Cambria Math" w:eastAsia="宋体"/>
          <w:sz w:val="20"/>
          <w:szCs w:val="20"/>
          <w:lang w:val="en-US" w:eastAsia="zh-CN"/>
        </w:rPr>
        <w:fldChar w:fldCharType="end"/>
      </w:r>
      <w:r>
        <w:rPr>
          <w:rFonts w:hint="eastAsia" w:hAnsi="Cambria Math" w:eastAsia="宋体"/>
          <w:sz w:val="20"/>
          <w:szCs w:val="20"/>
          <w:lang w:val="en-US" w:eastAsia="zh-CN"/>
        </w:rPr>
        <w:t xml:space="preserve">. The UE slant range </w:t>
      </w:r>
      <m:oMath>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d</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ue,sat</m:t>
            </m:r>
            <m:ctrlPr>
              <w:rPr>
                <w:rFonts w:ascii="Cambria Math" w:hAnsi="Cambria Math"/>
                <w:i/>
                <w:iCs/>
                <w:sz w:val="20"/>
                <w:szCs w:val="20"/>
                <w:lang w:val="en-US"/>
              </w:rPr>
            </m:ctrlPr>
          </m:sub>
        </m:sSub>
      </m:oMath>
      <w:r>
        <w:rPr>
          <w:rFonts w:hint="eastAsia" w:hAnsi="Cambria Math" w:eastAsia="宋体"/>
          <w:i w:val="0"/>
          <w:iCs/>
          <w:sz w:val="20"/>
          <w:szCs w:val="20"/>
          <w:lang w:val="en-US" w:eastAsia="zh-CN"/>
        </w:rPr>
        <w:t xml:space="preserve"> </w:t>
      </w:r>
      <w:r>
        <w:rPr>
          <w:rFonts w:hint="eastAsia" w:hAnsi="Cambria Math" w:eastAsia="宋体"/>
          <w:sz w:val="20"/>
          <w:szCs w:val="20"/>
          <w:lang w:val="en-US" w:eastAsia="zh-CN"/>
        </w:rPr>
        <w:t>can be derived by the following equation set according to Cosine Formula.</w:t>
      </w:r>
    </w:p>
    <w:p w14:paraId="47F4DAEB">
      <w:pPr>
        <w:spacing w:before="120" w:beforeLines="50" w:after="120"/>
        <w:jc w:val="both"/>
        <w:rPr>
          <w:rFonts w:hAnsi="Cambria Math"/>
          <w:i w:val="0"/>
          <w:sz w:val="20"/>
          <w:szCs w:val="20"/>
          <w:lang w:val="en-US"/>
        </w:rPr>
      </w:pPr>
      <m:oMathPara>
        <m:oMath>
          <m:d>
            <m:dPr>
              <m:begChr m:val="{"/>
              <m:endChr m:val=""/>
              <m:ctrlPr>
                <w:rPr>
                  <w:rFonts w:ascii="Cambria Math" w:hAnsi="Cambria Math"/>
                  <w:i/>
                  <w:sz w:val="20"/>
                  <w:szCs w:val="20"/>
                  <w:lang w:val="en-US"/>
                </w:rPr>
              </m:ctrlPr>
            </m:dPr>
            <m:e>
              <m:eqArr>
                <m:eqArrPr>
                  <m:ctrlPr>
                    <w:rPr>
                      <w:rFonts w:ascii="Cambria Math" w:hAnsi="Cambria Math"/>
                      <w:i/>
                      <w:sz w:val="20"/>
                      <w:szCs w:val="20"/>
                      <w:lang w:val="en-US"/>
                    </w:rPr>
                  </m:ctrlPr>
                </m:eqArrPr>
                <m:e>
                  <m:sSup>
                    <m:sSupPr>
                      <m:ctrlPr>
                        <w:rPr>
                          <w:rFonts w:ascii="Cambria Math" w:hAnsi="Cambria Math"/>
                          <w:i/>
                          <w:iCs/>
                          <w:sz w:val="20"/>
                          <w:szCs w:val="20"/>
                          <w:lang w:val="en-US"/>
                        </w:rPr>
                      </m:ctrlPr>
                    </m:sSup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ctrlPr>
                        <w:rPr>
                          <w:rFonts w:ascii="Cambria Math" w:hAnsi="Cambria Math"/>
                          <w:i/>
                          <w:iCs/>
                          <w:sz w:val="20"/>
                          <w:szCs w:val="20"/>
                          <w:lang w:val="en-US"/>
                        </w:rPr>
                      </m:ctrlPr>
                    </m:e>
                    <m:sup>
                      <m:r>
                        <m:rPr/>
                        <w:rPr>
                          <w:rFonts w:hint="default" w:ascii="Cambria Math" w:hAnsi="Cambria Math" w:eastAsia="宋体"/>
                          <w:sz w:val="20"/>
                          <w:szCs w:val="20"/>
                          <w:lang w:val="en-US" w:eastAsia="zh-CN"/>
                        </w:rPr>
                        <m:t>2</m:t>
                      </m:r>
                      <m:ctrlPr>
                        <w:rPr>
                          <w:rFonts w:ascii="Cambria Math" w:hAnsi="Cambria Math"/>
                          <w:i/>
                          <w:iCs/>
                          <w:sz w:val="20"/>
                          <w:szCs w:val="20"/>
                          <w:lang w:val="en-US"/>
                        </w:rPr>
                      </m:ctrlPr>
                    </m:sup>
                  </m:sSup>
                  <m:r>
                    <m:rPr/>
                    <w:rPr>
                      <w:rFonts w:hint="default" w:ascii="Cambria Math" w:hAnsi="Cambria Math" w:eastAsia="宋体"/>
                      <w:sz w:val="20"/>
                      <w:szCs w:val="20"/>
                      <w:lang w:val="en-US" w:eastAsia="zh-CN"/>
                    </w:rPr>
                    <m:t>=</m:t>
                  </m:r>
                  <m:sSup>
                    <m:sSupPr>
                      <m:ctrlPr>
                        <w:rPr>
                          <w:rFonts w:ascii="Cambria Math" w:hAnsi="Cambria Math"/>
                          <w:i/>
                          <w:iCs/>
                          <w:sz w:val="20"/>
                          <w:szCs w:val="20"/>
                          <w:lang w:val="en-US"/>
                        </w:rPr>
                      </m:ctrlPr>
                    </m:sSup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d</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ref,sat</m:t>
                          </m:r>
                          <m:ctrlPr>
                            <w:rPr>
                              <w:rFonts w:ascii="Cambria Math" w:hAnsi="Cambria Math"/>
                              <w:i/>
                              <w:iCs/>
                              <w:sz w:val="20"/>
                              <w:szCs w:val="20"/>
                              <w:lang w:val="en-US"/>
                            </w:rPr>
                          </m:ctrlPr>
                        </m:sub>
                      </m:sSub>
                      <m:ctrlPr>
                        <w:rPr>
                          <w:rFonts w:ascii="Cambria Math" w:hAnsi="Cambria Math"/>
                          <w:i/>
                          <w:iCs/>
                          <w:sz w:val="20"/>
                          <w:szCs w:val="20"/>
                          <w:lang w:val="en-US"/>
                        </w:rPr>
                      </m:ctrlPr>
                    </m:e>
                    <m:sup>
                      <m:r>
                        <m:rPr/>
                        <w:rPr>
                          <w:rFonts w:hint="default" w:ascii="Cambria Math" w:hAnsi="Cambria Math" w:eastAsia="宋体"/>
                          <w:sz w:val="20"/>
                          <w:szCs w:val="20"/>
                          <w:lang w:val="en-US" w:eastAsia="zh-CN"/>
                        </w:rPr>
                        <m:t>2</m:t>
                      </m:r>
                      <m:ctrlPr>
                        <w:rPr>
                          <w:rFonts w:ascii="Cambria Math" w:hAnsi="Cambria Math"/>
                          <w:i/>
                          <w:iCs/>
                          <w:sz w:val="20"/>
                          <w:szCs w:val="20"/>
                          <w:lang w:val="en-US"/>
                        </w:rPr>
                      </m:ctrlPr>
                    </m:sup>
                  </m:sSup>
                  <m:r>
                    <m:rPr/>
                    <w:rPr>
                      <w:rFonts w:hint="default" w:ascii="Cambria Math" w:hAnsi="Cambria Math" w:eastAsia="宋体"/>
                      <w:sz w:val="20"/>
                      <w:szCs w:val="20"/>
                      <w:lang w:val="en-US" w:eastAsia="zh-CN"/>
                    </w:rPr>
                    <m:t>+</m:t>
                  </m:r>
                  <m:sSup>
                    <m:sSupPr>
                      <m:ctrlPr>
                        <w:rPr>
                          <w:rFonts w:ascii="Cambria Math" w:hAnsi="Cambria Math"/>
                          <w:i/>
                          <w:iCs/>
                          <w:sz w:val="20"/>
                          <w:szCs w:val="20"/>
                          <w:lang w:val="en-US"/>
                        </w:rPr>
                      </m:ctrlPr>
                    </m:sSupPr>
                    <m:e>
                      <m:d>
                        <m:dPr>
                          <m:ctrlPr>
                            <w:rPr>
                              <w:rFonts w:ascii="Cambria Math" w:hAnsi="Cambria Math"/>
                              <w:i/>
                              <w:iCs/>
                              <w:sz w:val="20"/>
                              <w:szCs w:val="20"/>
                              <w:lang w:val="en-US"/>
                            </w:rPr>
                          </m:ctrlPr>
                        </m:d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r>
                            <m:rPr/>
                            <w:rPr>
                              <w:rFonts w:hint="default" w:ascii="Cambria Math" w:hAnsi="Cambria Math" w:eastAsia="宋体"/>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sat</m:t>
                              </m:r>
                              <m:ctrlPr>
                                <w:rPr>
                                  <w:rFonts w:ascii="Cambria Math" w:hAnsi="Cambria Math"/>
                                  <w:i/>
                                  <w:iCs/>
                                  <w:sz w:val="20"/>
                                  <w:szCs w:val="20"/>
                                  <w:lang w:val="en-US"/>
                                </w:rPr>
                              </m:ctrlPr>
                            </m:sub>
                          </m:sSub>
                          <m:ctrlPr>
                            <w:rPr>
                              <w:rFonts w:ascii="Cambria Math" w:hAnsi="Cambria Math"/>
                              <w:i/>
                              <w:iCs/>
                              <w:sz w:val="20"/>
                              <w:szCs w:val="20"/>
                              <w:lang w:val="en-US"/>
                            </w:rPr>
                          </m:ctrlPr>
                        </m:e>
                      </m:d>
                      <m:ctrlPr>
                        <w:rPr>
                          <w:rFonts w:ascii="Cambria Math" w:hAnsi="Cambria Math"/>
                          <w:i/>
                          <w:iCs/>
                          <w:sz w:val="20"/>
                          <w:szCs w:val="20"/>
                          <w:lang w:val="en-US"/>
                        </w:rPr>
                      </m:ctrlPr>
                    </m:e>
                    <m:sup>
                      <m:r>
                        <m:rPr/>
                        <w:rPr>
                          <w:rFonts w:hint="default" w:ascii="Cambria Math" w:hAnsi="Cambria Math" w:eastAsia="宋体"/>
                          <w:sz w:val="20"/>
                          <w:szCs w:val="20"/>
                          <w:lang w:val="en-US" w:eastAsia="zh-CN"/>
                        </w:rPr>
                        <m:t>2</m:t>
                      </m:r>
                      <m:ctrlPr>
                        <w:rPr>
                          <w:rFonts w:ascii="Cambria Math" w:hAnsi="Cambria Math"/>
                          <w:i/>
                          <w:iCs/>
                          <w:sz w:val="20"/>
                          <w:szCs w:val="20"/>
                          <w:lang w:val="en-US"/>
                        </w:rPr>
                      </m:ctrlPr>
                    </m:sup>
                  </m:sSup>
                  <m:r>
                    <m:rPr/>
                    <w:rPr>
                      <w:rFonts w:hint="default" w:ascii="Cambria Math" w:hAnsi="Cambria Math" w:eastAsia="宋体"/>
                      <w:sz w:val="20"/>
                      <w:szCs w:val="20"/>
                      <w:lang w:val="en-US" w:eastAsia="zh-CN"/>
                    </w:rPr>
                    <m:t>−2</m:t>
                  </m:r>
                  <m:r>
                    <m:rPr/>
                    <w:rPr>
                      <w:rFonts w:hint="default" w:ascii="Cambria Math" w:hAnsi="Cambria Math" w:eastAsia="宋体" w:cs="Cambria Math"/>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d</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ref,sat</m:t>
                      </m:r>
                      <m:ctrlPr>
                        <w:rPr>
                          <w:rFonts w:ascii="Cambria Math" w:hAnsi="Cambria Math"/>
                          <w:i/>
                          <w:iCs/>
                          <w:sz w:val="20"/>
                          <w:szCs w:val="20"/>
                          <w:lang w:val="en-US"/>
                        </w:rPr>
                      </m:ctrlPr>
                    </m:sub>
                  </m:sSub>
                  <m:r>
                    <m:rPr/>
                    <w:rPr>
                      <w:rFonts w:hint="default" w:ascii="Cambria Math" w:hAnsi="Cambria Math" w:eastAsia="宋体" w:cs="Cambria Math"/>
                      <w:sz w:val="20"/>
                      <w:szCs w:val="20"/>
                      <w:lang w:val="en-US" w:eastAsia="zh-CN"/>
                    </w:rPr>
                    <m:t>∙</m:t>
                  </m:r>
                  <m:d>
                    <m:dPr>
                      <m:ctrlPr>
                        <w:rPr>
                          <w:rFonts w:ascii="Cambria Math" w:hAnsi="Cambria Math"/>
                          <w:i/>
                          <w:iCs/>
                          <w:sz w:val="20"/>
                          <w:szCs w:val="20"/>
                          <w:lang w:val="en-US"/>
                        </w:rPr>
                      </m:ctrlPr>
                    </m:d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r>
                        <m:rPr/>
                        <w:rPr>
                          <w:rFonts w:hint="default" w:ascii="Cambria Math" w:hAnsi="Cambria Math" w:eastAsia="宋体"/>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sat</m:t>
                          </m:r>
                          <m:ctrlPr>
                            <w:rPr>
                              <w:rFonts w:ascii="Cambria Math" w:hAnsi="Cambria Math"/>
                              <w:i/>
                              <w:iCs/>
                              <w:sz w:val="20"/>
                              <w:szCs w:val="20"/>
                              <w:lang w:val="en-US"/>
                            </w:rPr>
                          </m:ctrlPr>
                        </m:sub>
                      </m:sSub>
                      <m:ctrlPr>
                        <w:rPr>
                          <w:rFonts w:ascii="Cambria Math" w:hAnsi="Cambria Math"/>
                          <w:i/>
                          <w:iCs/>
                          <w:sz w:val="20"/>
                          <w:szCs w:val="20"/>
                          <w:lang w:val="en-US"/>
                        </w:rPr>
                      </m:ctrlPr>
                    </m:e>
                  </m:d>
                  <m:r>
                    <m:rPr/>
                    <w:rPr>
                      <w:rFonts w:hint="default" w:ascii="Cambria Math" w:hAnsi="Cambria Math" w:eastAsia="宋体" w:cs="Cambria Math"/>
                      <w:sz w:val="20"/>
                      <w:szCs w:val="20"/>
                      <w:lang w:val="en-US" w:eastAsia="zh-CN"/>
                    </w:rPr>
                    <m:t>∙cosα</m:t>
                  </m:r>
                  <m:ctrlPr>
                    <w:rPr>
                      <w:rFonts w:ascii="Cambria Math" w:hAnsi="Cambria Math"/>
                      <w:i/>
                      <w:sz w:val="20"/>
                      <w:szCs w:val="20"/>
                      <w:lang w:val="en-US"/>
                    </w:rPr>
                  </m:ctrlPr>
                </m:e>
                <m:e>
                  <m:sSup>
                    <m:sSupPr>
                      <m:ctrlPr>
                        <w:rPr>
                          <w:rFonts w:ascii="Cambria Math" w:hAnsi="Cambria Math"/>
                          <w:i/>
                          <w:iCs/>
                          <w:sz w:val="20"/>
                          <w:szCs w:val="20"/>
                          <w:lang w:val="en-US"/>
                        </w:rPr>
                      </m:ctrlPr>
                    </m:sSupPr>
                    <m:e>
                      <m:d>
                        <m:dPr>
                          <m:ctrlPr>
                            <w:rPr>
                              <w:rFonts w:ascii="Cambria Math" w:hAnsi="Cambria Math"/>
                              <w:i/>
                              <w:iCs/>
                              <w:sz w:val="20"/>
                              <w:szCs w:val="20"/>
                              <w:lang w:val="en-US"/>
                            </w:rPr>
                          </m:ctrlPr>
                        </m:d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r>
                            <m:rPr/>
                            <w:rPr>
                              <w:rFonts w:hint="default" w:ascii="Cambria Math" w:hAnsi="Cambria Math" w:eastAsia="宋体"/>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ue</m:t>
                              </m:r>
                              <m:ctrlPr>
                                <w:rPr>
                                  <w:rFonts w:ascii="Cambria Math" w:hAnsi="Cambria Math"/>
                                  <w:i/>
                                  <w:iCs/>
                                  <w:sz w:val="20"/>
                                  <w:szCs w:val="20"/>
                                  <w:lang w:val="en-US"/>
                                </w:rPr>
                              </m:ctrlPr>
                            </m:sub>
                          </m:sSub>
                          <m:ctrlPr>
                            <w:rPr>
                              <w:rFonts w:ascii="Cambria Math" w:hAnsi="Cambria Math"/>
                              <w:i/>
                              <w:iCs/>
                              <w:sz w:val="20"/>
                              <w:szCs w:val="20"/>
                              <w:lang w:val="en-US"/>
                            </w:rPr>
                          </m:ctrlPr>
                        </m:e>
                      </m:d>
                      <m:ctrlPr>
                        <w:rPr>
                          <w:rFonts w:ascii="Cambria Math" w:hAnsi="Cambria Math"/>
                          <w:i/>
                          <w:iCs/>
                          <w:sz w:val="20"/>
                          <w:szCs w:val="20"/>
                          <w:lang w:val="en-US"/>
                        </w:rPr>
                      </m:ctrlPr>
                    </m:e>
                    <m:sup>
                      <m:r>
                        <m:rPr/>
                        <w:rPr>
                          <w:rFonts w:hint="default" w:ascii="Cambria Math" w:hAnsi="Cambria Math" w:eastAsia="宋体"/>
                          <w:sz w:val="20"/>
                          <w:szCs w:val="20"/>
                          <w:lang w:val="en-US" w:eastAsia="zh-CN"/>
                        </w:rPr>
                        <m:t>2</m:t>
                      </m:r>
                      <m:ctrlPr>
                        <w:rPr>
                          <w:rFonts w:ascii="Cambria Math" w:hAnsi="Cambria Math"/>
                          <w:i/>
                          <w:iCs/>
                          <w:sz w:val="20"/>
                          <w:szCs w:val="20"/>
                          <w:lang w:val="en-US"/>
                        </w:rPr>
                      </m:ctrlPr>
                    </m:sup>
                  </m:sSup>
                  <m:r>
                    <m:rPr/>
                    <w:rPr>
                      <w:rFonts w:hint="default" w:ascii="Cambria Math" w:hAnsi="Cambria Math" w:eastAsia="宋体"/>
                      <w:sz w:val="20"/>
                      <w:szCs w:val="20"/>
                      <w:lang w:val="en-US" w:eastAsia="zh-CN"/>
                    </w:rPr>
                    <m:t>=</m:t>
                  </m:r>
                  <m:sSup>
                    <m:sSupPr>
                      <m:ctrlPr>
                        <w:rPr>
                          <w:rFonts w:ascii="Cambria Math" w:hAnsi="Cambria Math"/>
                          <w:i/>
                          <w:iCs/>
                          <w:sz w:val="20"/>
                          <w:szCs w:val="20"/>
                          <w:lang w:val="en-US"/>
                        </w:rPr>
                      </m:ctrlPr>
                    </m:sSup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d</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ue,sat</m:t>
                          </m:r>
                          <m:ctrlPr>
                            <w:rPr>
                              <w:rFonts w:ascii="Cambria Math" w:hAnsi="Cambria Math"/>
                              <w:i/>
                              <w:iCs/>
                              <w:sz w:val="20"/>
                              <w:szCs w:val="20"/>
                              <w:lang w:val="en-US"/>
                            </w:rPr>
                          </m:ctrlPr>
                        </m:sub>
                      </m:sSub>
                      <m:ctrlPr>
                        <w:rPr>
                          <w:rFonts w:ascii="Cambria Math" w:hAnsi="Cambria Math"/>
                          <w:i/>
                          <w:iCs/>
                          <w:sz w:val="20"/>
                          <w:szCs w:val="20"/>
                          <w:lang w:val="en-US"/>
                        </w:rPr>
                      </m:ctrlPr>
                    </m:e>
                    <m:sup>
                      <m:r>
                        <m:rPr/>
                        <w:rPr>
                          <w:rFonts w:hint="default" w:ascii="Cambria Math" w:hAnsi="Cambria Math" w:eastAsia="宋体"/>
                          <w:sz w:val="20"/>
                          <w:szCs w:val="20"/>
                          <w:lang w:val="en-US" w:eastAsia="zh-CN"/>
                        </w:rPr>
                        <m:t>2</m:t>
                      </m:r>
                      <m:ctrlPr>
                        <w:rPr>
                          <w:rFonts w:ascii="Cambria Math" w:hAnsi="Cambria Math"/>
                          <w:i/>
                          <w:iCs/>
                          <w:sz w:val="20"/>
                          <w:szCs w:val="20"/>
                          <w:lang w:val="en-US"/>
                        </w:rPr>
                      </m:ctrlPr>
                    </m:sup>
                  </m:sSup>
                  <m:r>
                    <m:rPr/>
                    <w:rPr>
                      <w:rFonts w:hint="default" w:ascii="Cambria Math" w:hAnsi="Cambria Math" w:eastAsia="宋体"/>
                      <w:sz w:val="20"/>
                      <w:szCs w:val="20"/>
                      <w:lang w:val="en-US" w:eastAsia="zh-CN"/>
                    </w:rPr>
                    <m:t>+</m:t>
                  </m:r>
                  <m:sSup>
                    <m:sSupPr>
                      <m:ctrlPr>
                        <w:rPr>
                          <w:rFonts w:ascii="Cambria Math" w:hAnsi="Cambria Math"/>
                          <w:i/>
                          <w:iCs/>
                          <w:sz w:val="20"/>
                          <w:szCs w:val="20"/>
                          <w:lang w:val="en-US"/>
                        </w:rPr>
                      </m:ctrlPr>
                    </m:sSupPr>
                    <m:e>
                      <m:d>
                        <m:dPr>
                          <m:ctrlPr>
                            <w:rPr>
                              <w:rFonts w:ascii="Cambria Math" w:hAnsi="Cambria Math"/>
                              <w:i/>
                              <w:iCs/>
                              <w:sz w:val="20"/>
                              <w:szCs w:val="20"/>
                              <w:lang w:val="en-US"/>
                            </w:rPr>
                          </m:ctrlPr>
                        </m:d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r>
                            <m:rPr/>
                            <w:rPr>
                              <w:rFonts w:hint="default" w:ascii="Cambria Math" w:hAnsi="Cambria Math" w:eastAsia="宋体"/>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sat</m:t>
                              </m:r>
                              <m:ctrlPr>
                                <w:rPr>
                                  <w:rFonts w:ascii="Cambria Math" w:hAnsi="Cambria Math"/>
                                  <w:i/>
                                  <w:iCs/>
                                  <w:sz w:val="20"/>
                                  <w:szCs w:val="20"/>
                                  <w:lang w:val="en-US"/>
                                </w:rPr>
                              </m:ctrlPr>
                            </m:sub>
                          </m:sSub>
                          <m:ctrlPr>
                            <w:rPr>
                              <w:rFonts w:ascii="Cambria Math" w:hAnsi="Cambria Math"/>
                              <w:i/>
                              <w:iCs/>
                              <w:sz w:val="20"/>
                              <w:szCs w:val="20"/>
                              <w:lang w:val="en-US"/>
                            </w:rPr>
                          </m:ctrlPr>
                        </m:e>
                      </m:d>
                      <m:ctrlPr>
                        <w:rPr>
                          <w:rFonts w:ascii="Cambria Math" w:hAnsi="Cambria Math"/>
                          <w:i/>
                          <w:iCs/>
                          <w:sz w:val="20"/>
                          <w:szCs w:val="20"/>
                          <w:lang w:val="en-US"/>
                        </w:rPr>
                      </m:ctrlPr>
                    </m:e>
                    <m:sup>
                      <m:r>
                        <m:rPr/>
                        <w:rPr>
                          <w:rFonts w:hint="default" w:ascii="Cambria Math" w:hAnsi="Cambria Math" w:eastAsia="宋体"/>
                          <w:sz w:val="20"/>
                          <w:szCs w:val="20"/>
                          <w:lang w:val="en-US" w:eastAsia="zh-CN"/>
                        </w:rPr>
                        <m:t>2</m:t>
                      </m:r>
                      <m:ctrlPr>
                        <w:rPr>
                          <w:rFonts w:ascii="Cambria Math" w:hAnsi="Cambria Math"/>
                          <w:i/>
                          <w:iCs/>
                          <w:sz w:val="20"/>
                          <w:szCs w:val="20"/>
                          <w:lang w:val="en-US"/>
                        </w:rPr>
                      </m:ctrlPr>
                    </m:sup>
                  </m:sSup>
                  <m:r>
                    <m:rPr/>
                    <w:rPr>
                      <w:rFonts w:hint="default" w:ascii="Cambria Math" w:hAnsi="Cambria Math" w:eastAsia="宋体"/>
                      <w:sz w:val="20"/>
                      <w:szCs w:val="20"/>
                      <w:lang w:val="en-US" w:eastAsia="zh-CN"/>
                    </w:rPr>
                    <m:t>−2</m:t>
                  </m:r>
                  <m:r>
                    <m:rPr/>
                    <w:rPr>
                      <w:rFonts w:hint="default" w:ascii="Cambria Math" w:hAnsi="Cambria Math" w:eastAsia="宋体" w:cs="Cambria Math"/>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d</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ue,sat</m:t>
                      </m:r>
                      <m:ctrlPr>
                        <w:rPr>
                          <w:rFonts w:ascii="Cambria Math" w:hAnsi="Cambria Math"/>
                          <w:i/>
                          <w:iCs/>
                          <w:sz w:val="20"/>
                          <w:szCs w:val="20"/>
                          <w:lang w:val="en-US"/>
                        </w:rPr>
                      </m:ctrlPr>
                    </m:sub>
                  </m:sSub>
                  <m:r>
                    <m:rPr/>
                    <w:rPr>
                      <w:rFonts w:hint="default" w:ascii="Cambria Math" w:hAnsi="Cambria Math" w:eastAsia="宋体" w:cs="Cambria Math"/>
                      <w:sz w:val="20"/>
                      <w:szCs w:val="20"/>
                      <w:lang w:val="en-US" w:eastAsia="zh-CN"/>
                    </w:rPr>
                    <m:t>∙</m:t>
                  </m:r>
                  <m:d>
                    <m:dPr>
                      <m:ctrlPr>
                        <w:rPr>
                          <w:rFonts w:ascii="Cambria Math" w:hAnsi="Cambria Math"/>
                          <w:i/>
                          <w:iCs/>
                          <w:sz w:val="20"/>
                          <w:szCs w:val="20"/>
                          <w:lang w:val="en-US"/>
                        </w:rPr>
                      </m:ctrlPr>
                    </m:dPr>
                    <m:e>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r>
                        <m:rPr/>
                        <w:rPr>
                          <w:rFonts w:hint="default" w:ascii="Cambria Math" w:hAnsi="Cambria Math" w:eastAsia="宋体"/>
                          <w:sz w:val="20"/>
                          <w:szCs w:val="20"/>
                          <w:lang w:val="en-US" w:eastAsia="zh-CN"/>
                        </w:rPr>
                        <m:t>+</m:t>
                      </m:r>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sat</m:t>
                          </m:r>
                          <m:ctrlPr>
                            <w:rPr>
                              <w:rFonts w:ascii="Cambria Math" w:hAnsi="Cambria Math"/>
                              <w:i/>
                              <w:iCs/>
                              <w:sz w:val="20"/>
                              <w:szCs w:val="20"/>
                              <w:lang w:val="en-US"/>
                            </w:rPr>
                          </m:ctrlPr>
                        </m:sub>
                      </m:sSub>
                      <m:ctrlPr>
                        <w:rPr>
                          <w:rFonts w:ascii="Cambria Math" w:hAnsi="Cambria Math"/>
                          <w:i/>
                          <w:iCs/>
                          <w:sz w:val="20"/>
                          <w:szCs w:val="20"/>
                          <w:lang w:val="en-US"/>
                        </w:rPr>
                      </m:ctrlPr>
                    </m:e>
                  </m:d>
                  <m:r>
                    <m:rPr/>
                    <w:rPr>
                      <w:rFonts w:hint="default" w:ascii="Cambria Math" w:hAnsi="Cambria Math" w:eastAsia="宋体" w:cs="Cambria Math"/>
                      <w:sz w:val="20"/>
                      <w:szCs w:val="20"/>
                      <w:lang w:val="en-US" w:eastAsia="zh-CN"/>
                    </w:rPr>
                    <m:t>∙cosα</m:t>
                  </m:r>
                  <m:ctrlPr>
                    <w:rPr>
                      <w:rFonts w:ascii="Cambria Math" w:hAnsi="Cambria Math"/>
                      <w:i/>
                      <w:sz w:val="20"/>
                      <w:szCs w:val="20"/>
                      <w:lang w:val="en-US"/>
                    </w:rPr>
                  </m:ctrlPr>
                </m:e>
              </m:eqArr>
              <m:ctrlPr>
                <w:rPr>
                  <w:rFonts w:ascii="Cambria Math" w:hAnsi="Cambria Math"/>
                  <w:i/>
                  <w:sz w:val="20"/>
                  <w:szCs w:val="20"/>
                  <w:lang w:val="en-US"/>
                </w:rPr>
              </m:ctrlPr>
            </m:e>
          </m:d>
        </m:oMath>
      </m:oMathPara>
    </w:p>
    <w:p w14:paraId="37613976">
      <w:pPr>
        <w:spacing w:before="120" w:beforeLines="50" w:after="120"/>
        <w:jc w:val="both"/>
        <w:rPr>
          <w:rFonts w:hint="eastAsia" w:hAnsi="Cambria Math" w:eastAsia="宋体"/>
          <w:i w:val="0"/>
          <w:sz w:val="20"/>
          <w:szCs w:val="20"/>
          <w:lang w:val="en-US" w:eastAsia="zh-CN"/>
        </w:rPr>
      </w:pPr>
      <w:r>
        <w:rPr>
          <w:rFonts w:hint="eastAsia" w:hAnsi="Cambria Math" w:eastAsia="宋体"/>
          <w:i w:val="0"/>
          <w:sz w:val="20"/>
          <w:szCs w:val="20"/>
          <w:lang w:val="en-US" w:eastAsia="zh-CN"/>
        </w:rPr>
        <w:t>Where:</w:t>
      </w:r>
    </w:p>
    <w:p w14:paraId="6AA563C5">
      <w:pPr>
        <w:spacing w:before="120" w:beforeLines="50" w:after="120"/>
        <w:jc w:val="both"/>
        <w:rPr>
          <w:rFonts w:hint="eastAsia" w:hAnsi="Cambria Math" w:eastAsia="宋体"/>
          <w:i w:val="0"/>
          <w:iCs/>
          <w:sz w:val="20"/>
          <w:szCs w:val="20"/>
          <w:lang w:val="en-US" w:eastAsia="zh-CN"/>
        </w:rPr>
      </w:pPr>
      <m:oMath>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R</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E</m:t>
            </m:r>
            <m:ctrlPr>
              <w:rPr>
                <w:rFonts w:ascii="Cambria Math" w:hAnsi="Cambria Math"/>
                <w:i/>
                <w:iCs/>
                <w:sz w:val="20"/>
                <w:szCs w:val="20"/>
                <w:lang w:val="en-US"/>
              </w:rPr>
            </m:ctrlPr>
          </m:sub>
        </m:sSub>
      </m:oMath>
      <w:r>
        <w:rPr>
          <w:rFonts w:hint="eastAsia" w:hAnsi="Cambria Math" w:eastAsia="宋体"/>
          <w:i w:val="0"/>
          <w:iCs/>
          <w:sz w:val="20"/>
          <w:szCs w:val="20"/>
          <w:lang w:val="en-US" w:eastAsia="zh-CN"/>
        </w:rPr>
        <w:t xml:space="preserve"> is the radius of the Earth;</w:t>
      </w:r>
    </w:p>
    <w:p w14:paraId="0AD22F81">
      <w:pPr>
        <w:spacing w:before="120" w:beforeLines="50" w:after="120"/>
        <w:jc w:val="both"/>
        <w:rPr>
          <w:rFonts w:hint="eastAsia" w:hAnsi="Cambria Math" w:eastAsia="宋体"/>
          <w:i w:val="0"/>
          <w:iCs/>
          <w:sz w:val="20"/>
          <w:szCs w:val="20"/>
          <w:lang w:val="en-US" w:eastAsia="zh-CN"/>
        </w:rPr>
      </w:pPr>
      <m:oMath>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sat</m:t>
            </m:r>
            <m:ctrlPr>
              <w:rPr>
                <w:rFonts w:ascii="Cambria Math" w:hAnsi="Cambria Math"/>
                <w:i/>
                <w:iCs/>
                <w:sz w:val="20"/>
                <w:szCs w:val="20"/>
                <w:lang w:val="en-US"/>
              </w:rPr>
            </m:ctrlPr>
          </m:sub>
        </m:sSub>
      </m:oMath>
      <w:r>
        <w:rPr>
          <w:rFonts w:hint="eastAsia" w:hAnsi="Cambria Math" w:eastAsia="宋体"/>
          <w:i w:val="0"/>
          <w:iCs/>
          <w:sz w:val="20"/>
          <w:szCs w:val="20"/>
          <w:lang w:val="en-US" w:eastAsia="zh-CN"/>
        </w:rPr>
        <w:t xml:space="preserve"> and </w:t>
      </w:r>
      <m:oMath>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h</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ue</m:t>
            </m:r>
            <m:ctrlPr>
              <w:rPr>
                <w:rFonts w:ascii="Cambria Math" w:hAnsi="Cambria Math"/>
                <w:i/>
                <w:iCs/>
                <w:sz w:val="20"/>
                <w:szCs w:val="20"/>
                <w:lang w:val="en-US"/>
              </w:rPr>
            </m:ctrlPr>
          </m:sub>
        </m:sSub>
      </m:oMath>
      <w:r>
        <w:rPr>
          <w:rFonts w:hint="eastAsia" w:hAnsi="Cambria Math" w:eastAsia="宋体"/>
          <w:i w:val="0"/>
          <w:iCs/>
          <w:sz w:val="20"/>
          <w:szCs w:val="20"/>
          <w:lang w:val="en-US" w:eastAsia="zh-CN"/>
        </w:rPr>
        <w:t xml:space="preserve"> is the altitudes of satellite and UE respectively;</w:t>
      </w:r>
    </w:p>
    <w:p w14:paraId="308E13BA">
      <w:pPr>
        <w:spacing w:before="120" w:beforeLines="50" w:after="120"/>
        <w:jc w:val="both"/>
        <w:rPr>
          <w:rFonts w:hint="eastAsia" w:hAnsi="Cambria Math" w:eastAsia="宋体"/>
          <w:sz w:val="20"/>
          <w:lang w:val="en-US" w:eastAsia="zh-CN"/>
        </w:rPr>
      </w:pPr>
      <m:oMath>
        <m:sSub>
          <m:sSubPr>
            <m:ctrlPr>
              <w:rPr>
                <w:rFonts w:ascii="Cambria Math" w:hAnsi="Cambria Math"/>
                <w:i/>
                <w:iCs/>
                <w:sz w:val="20"/>
                <w:szCs w:val="20"/>
                <w:lang w:val="en-US"/>
              </w:rPr>
            </m:ctrlPr>
          </m:sSubPr>
          <m:e>
            <m:r>
              <m:rPr/>
              <w:rPr>
                <w:rFonts w:hint="default" w:ascii="Cambria Math" w:hAnsi="Cambria Math" w:eastAsia="宋体"/>
                <w:sz w:val="20"/>
                <w:szCs w:val="20"/>
                <w:lang w:val="en-US" w:eastAsia="zh-CN"/>
              </w:rPr>
              <m:t>d</m:t>
            </m:r>
            <m:ctrlPr>
              <w:rPr>
                <w:rFonts w:ascii="Cambria Math" w:hAnsi="Cambria Math"/>
                <w:i/>
                <w:iCs/>
                <w:sz w:val="20"/>
                <w:szCs w:val="20"/>
                <w:lang w:val="en-US"/>
              </w:rPr>
            </m:ctrlPr>
          </m:e>
          <m:sub>
            <m:r>
              <m:rPr/>
              <w:rPr>
                <w:rFonts w:hint="default" w:ascii="Cambria Math" w:hAnsi="Cambria Math" w:eastAsia="宋体"/>
                <w:sz w:val="20"/>
                <w:szCs w:val="20"/>
                <w:lang w:val="en-US" w:eastAsia="zh-CN"/>
              </w:rPr>
              <m:t>ref,sat</m:t>
            </m:r>
            <m:ctrlPr>
              <w:rPr>
                <w:rFonts w:ascii="Cambria Math" w:hAnsi="Cambria Math"/>
                <w:i/>
                <w:iCs/>
                <w:sz w:val="20"/>
                <w:szCs w:val="20"/>
                <w:lang w:val="en-US"/>
              </w:rPr>
            </m:ctrlPr>
          </m:sub>
        </m:sSub>
      </m:oMath>
      <w:r>
        <w:rPr>
          <w:rFonts w:hint="eastAsia" w:hAnsi="Cambria Math" w:eastAsia="宋体"/>
          <w:i w:val="0"/>
          <w:iCs/>
          <w:sz w:val="20"/>
          <w:szCs w:val="20"/>
          <w:lang w:val="en-US" w:eastAsia="zh-CN"/>
        </w:rPr>
        <w:t xml:space="preserve"> is the slant range from reference location to satellite, which can be calculate by satellite </w:t>
      </w:r>
      <w:r>
        <w:rPr>
          <w:rFonts w:hint="eastAsia" w:hAnsi="Cambria Math" w:eastAsia="宋体"/>
          <w:sz w:val="20"/>
          <w:lang w:val="en-US" w:eastAsia="zh-CN"/>
        </w:rPr>
        <w:t>ephemeris and the location;</w:t>
      </w:r>
    </w:p>
    <w:p w14:paraId="602847D2">
      <w:pPr>
        <w:spacing w:before="120" w:beforeLines="50" w:after="120"/>
        <w:jc w:val="both"/>
        <w:rPr>
          <w:rFonts w:hint="default" w:hAnsi="Cambria Math" w:eastAsia="宋体"/>
          <w:sz w:val="20"/>
          <w:lang w:val="en-US" w:eastAsia="zh-CN"/>
        </w:rPr>
      </w:pPr>
      <m:oMath>
        <m:r>
          <m:rPr/>
          <w:rPr>
            <w:rFonts w:hint="default" w:ascii="Cambria Math" w:hAnsi="Cambria Math" w:eastAsia="宋体" w:cs="Cambria Math"/>
            <w:sz w:val="20"/>
            <w:szCs w:val="20"/>
            <w:lang w:val="en-US" w:eastAsia="zh-CN"/>
          </w:rPr>
          <m:t>α</m:t>
        </m:r>
      </m:oMath>
      <w:r>
        <w:rPr>
          <w:rFonts w:hint="eastAsia" w:hAnsi="Cambria Math" w:eastAsia="宋体" w:cs="Cambria Math"/>
          <w:i w:val="0"/>
          <w:sz w:val="20"/>
          <w:szCs w:val="20"/>
          <w:lang w:val="en-US" w:eastAsia="zh-CN"/>
        </w:rPr>
        <w:t xml:space="preserve"> is beam elevation from the perspective of satellite.</w:t>
      </w:r>
    </w:p>
    <w:p w14:paraId="54B0DFBE">
      <w:pPr>
        <w:spacing w:before="120" w:beforeLines="50" w:after="12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2876550" cy="35433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2876550" cy="3543300"/>
                    </a:xfrm>
                    <a:prstGeom prst="rect">
                      <a:avLst/>
                    </a:prstGeom>
                    <a:noFill/>
                    <a:ln w="9525">
                      <a:noFill/>
                    </a:ln>
                  </pic:spPr>
                </pic:pic>
              </a:graphicData>
            </a:graphic>
          </wp:inline>
        </w:drawing>
      </w:r>
    </w:p>
    <w:p w14:paraId="4CFDF290">
      <w:pPr>
        <w:pStyle w:val="8"/>
        <w:spacing w:before="120" w:beforeLines="50" w:after="120"/>
        <w:jc w:val="center"/>
        <w:rPr>
          <w:rFonts w:hint="eastAsia" w:ascii="宋体" w:hAnsi="宋体" w:eastAsia="宋体" w:cs="宋体"/>
          <w:sz w:val="24"/>
          <w:szCs w:val="24"/>
          <w:lang w:val="en-US" w:eastAsia="zh-CN"/>
        </w:rPr>
      </w:pPr>
      <w:bookmarkStart w:id="6" w:name="_Ref29950"/>
      <w:r>
        <w:t xml:space="preserve">Figure </w:t>
      </w:r>
      <w:r>
        <w:fldChar w:fldCharType="begin"/>
      </w:r>
      <w:r>
        <w:instrText xml:space="preserve"> SEQ Figure \* ARABIC </w:instrText>
      </w:r>
      <w:r>
        <w:fldChar w:fldCharType="separate"/>
      </w:r>
      <w:r>
        <w:t>1</w:t>
      </w:r>
      <w:r>
        <w:fldChar w:fldCharType="end"/>
      </w:r>
      <w:bookmarkEnd w:id="6"/>
      <w:r>
        <w:rPr>
          <w:rFonts w:hint="eastAsia" w:eastAsia="宋体"/>
          <w:lang w:val="en-US" w:eastAsia="zh-CN"/>
        </w:rPr>
        <w:t xml:space="preserve"> Range estimation based on reference location and UE altitude</w:t>
      </w:r>
    </w:p>
    <w:p w14:paraId="5BC36D9E">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2: The last UE positioning information should be considered for TA/Doppler coarse estimation based on reference location.</w:t>
      </w:r>
    </w:p>
    <w:p w14:paraId="7215CB7E">
      <w:pPr>
        <w:spacing w:before="120" w:beforeLines="50" w:after="120"/>
        <w:jc w:val="both"/>
        <w:rPr>
          <w:rFonts w:hint="default" w:hAnsi="Cambria Math" w:eastAsia="宋体"/>
          <w:sz w:val="20"/>
          <w:lang w:val="en-US" w:eastAsia="zh-CN"/>
        </w:rPr>
      </w:pPr>
    </w:p>
    <w:p w14:paraId="604EF79A">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 xml:space="preserve">Besides the approaches above, there may be another way for common Doppler compensation, which was mentioned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_Ref21315 \n \h </w:instrText>
      </w:r>
      <w:r>
        <w:rPr>
          <w:rFonts w:hint="eastAsia" w:hAnsi="Cambria Math" w:eastAsia="宋体"/>
          <w:sz w:val="20"/>
          <w:lang w:val="en-US" w:eastAsia="zh-CN"/>
        </w:rPr>
        <w:fldChar w:fldCharType="separate"/>
      </w:r>
      <w:r>
        <w:rPr>
          <w:rFonts w:hint="eastAsia" w:hAnsi="Cambria Math" w:eastAsia="宋体"/>
          <w:sz w:val="20"/>
          <w:lang w:val="en-US" w:eastAsia="zh-CN"/>
        </w:rPr>
        <w:t>[3]</w:t>
      </w:r>
      <w:r>
        <w:rPr>
          <w:rFonts w:hint="eastAsia" w:hAnsi="Cambria Math" w:eastAsia="宋体"/>
          <w:sz w:val="20"/>
          <w:lang w:val="en-US" w:eastAsia="zh-CN"/>
        </w:rPr>
        <w:fldChar w:fldCharType="end"/>
      </w:r>
      <w:r>
        <w:rPr>
          <w:rFonts w:hint="eastAsia" w:hAnsi="Cambria Math" w:eastAsia="宋体"/>
          <w:sz w:val="20"/>
          <w:lang w:val="en-US" w:eastAsia="zh-CN"/>
        </w:rPr>
        <w:t>.</w:t>
      </w:r>
    </w:p>
    <w:p w14:paraId="3E0D1141">
      <w:pPr>
        <w:spacing w:before="120" w:beforeLines="50" w:after="120"/>
        <w:jc w:val="both"/>
        <w:rPr>
          <w:rFonts w:hint="default" w:hAnsi="Cambria Math" w:eastAsia="宋体"/>
          <w:sz w:val="20"/>
          <w:lang w:val="en-US" w:eastAsia="zh-CN"/>
        </w:rPr>
      </w:pPr>
    </w:p>
    <w:p w14:paraId="52CA86DA">
      <w:pPr>
        <w:spacing w:before="120" w:beforeLines="50" w:after="120"/>
        <w:jc w:val="both"/>
        <w:rPr>
          <w:rFonts w:hint="default" w:hAnsi="Cambria Math" w:eastAsia="宋体"/>
          <w:sz w:val="20"/>
          <w:lang w:val="en-US" w:eastAsia="zh-CN"/>
        </w:rPr>
      </w:pPr>
      <w:r>
        <w:rPr>
          <w:rFonts w:hint="default" w:hAnsi="Cambria Math" w:eastAsia="宋体"/>
          <w:sz w:val="20"/>
          <w:lang w:val="en-US" w:eastAsia="zh-CN"/>
        </w:rPr>
        <w:t xml:space="preserve">The following mechanism </w:t>
      </w:r>
      <w:r>
        <w:rPr>
          <w:rFonts w:hint="eastAsia" w:hAnsi="Cambria Math" w:eastAsia="宋体"/>
          <w:sz w:val="20"/>
          <w:lang w:val="en-US" w:eastAsia="zh-CN"/>
        </w:rPr>
        <w:t xml:space="preserve">can </w:t>
      </w:r>
      <w:r>
        <w:rPr>
          <w:rFonts w:hint="default" w:hAnsi="Cambria Math" w:eastAsia="宋体"/>
          <w:sz w:val="20"/>
          <w:lang w:val="en-US" w:eastAsia="zh-CN"/>
        </w:rPr>
        <w:t>be applied</w:t>
      </w:r>
      <w:r>
        <w:rPr>
          <w:rFonts w:hint="eastAsia" w:hAnsi="Cambria Math" w:eastAsia="宋体"/>
          <w:sz w:val="20"/>
          <w:lang w:val="en-US" w:eastAsia="zh-CN"/>
        </w:rPr>
        <w:t xml:space="preserve"> in pre-compensation of Doppler on service link.</w:t>
      </w:r>
    </w:p>
    <w:p w14:paraId="46A9B155">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After power on, as there is no frequency offset knowledge in the initial stage, UE should perform cell search by detecting PSS in a wide frequency range. When synchronization signal is captured, the received frequency can be measured by UE.</w:t>
      </w:r>
    </w:p>
    <w:p w14:paraId="3870277A">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If the SS transmission frequency is known by UE, the downlink frequency offset can be calculated as following.</w:t>
      </w:r>
    </w:p>
    <w:p w14:paraId="00D303B4">
      <w:pPr>
        <w:spacing w:before="120" w:beforeLines="50" w:after="120"/>
        <w:jc w:val="both"/>
        <w:rPr>
          <w:rFonts w:hint="default" w:hAnsi="Cambria Math" w:eastAsia="宋体"/>
          <w:sz w:val="20"/>
          <w:lang w:val="en-US" w:eastAsia="zh-CN"/>
        </w:rPr>
      </w:pPr>
      <m:oMathPara>
        <m:oMath>
          <m:r>
            <m:rPr/>
            <w:rPr>
              <w:rFonts w:ascii="Cambria Math" w:hAnsi="Cambria Math"/>
              <w:sz w:val="20"/>
              <w:lang w:val="en-US"/>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dl</m:t>
              </m:r>
              <m:ctrlPr>
                <w:rPr>
                  <w:rFonts w:hint="default" w:ascii="Cambria Math" w:hAnsi="Cambria Math" w:eastAsia="宋体"/>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rx,dl</m:t>
              </m:r>
              <m:ctrlPr>
                <w:rPr>
                  <w:rFonts w:hint="default" w:ascii="Cambria Math" w:hAnsi="Cambria Math" w:eastAsia="宋体"/>
                  <w:i/>
                  <w:iCs/>
                  <w:sz w:val="20"/>
                  <w:lang w:val="en-US" w:eastAsia="zh-CN"/>
                </w:rPr>
              </m:ctrlPr>
            </m:sub>
          </m:sSub>
          <m:r>
            <m:rPr/>
            <w:rPr>
              <w:rFonts w:hint="default" w:ascii="Cambria Math" w:hAnsi="Cambria Math" w:eastAsia="宋体"/>
              <w:sz w:val="20"/>
              <w:lang w:val="en-US" w:eastAsia="zh-CN"/>
            </w:rPr>
            <m:t>−</m:t>
          </m:r>
          <m:sSub>
            <m:sSubPr>
              <m:ctrlPr>
                <w:rPr>
                  <w:rFonts w:hint="default" w:ascii="Cambria Math" w:hAnsi="Cambria Math" w:eastAsia="宋体"/>
                  <w:i/>
                  <w:iCs/>
                  <w:sz w:val="20"/>
                  <w:lang w:val="en-US" w:eastAsia="zh-CN"/>
                </w:rPr>
              </m:ctrlPr>
            </m:sSubPr>
            <m:e>
              <m:r>
                <m:rPr/>
                <w:rPr>
                  <w:rFonts w:hint="default" w:ascii="Cambria Math" w:hAnsi="Cambria Math" w:eastAsia="宋体"/>
                  <w:sz w:val="20"/>
                  <w:lang w:val="en-US" w:eastAsia="zh-CN"/>
                </w:rPr>
                <m:t>f</m:t>
              </m:r>
              <m:ctrlPr>
                <w:rPr>
                  <w:rFonts w:hint="default" w:ascii="Cambria Math" w:hAnsi="Cambria Math" w:eastAsia="宋体"/>
                  <w:i/>
                  <w:iCs/>
                  <w:sz w:val="20"/>
                  <w:lang w:val="en-US" w:eastAsia="zh-CN"/>
                </w:rPr>
              </m:ctrlPr>
            </m:e>
            <m:sub>
              <m:r>
                <m:rPr/>
                <w:rPr>
                  <w:rFonts w:hint="default" w:ascii="Cambria Math" w:hAnsi="Cambria Math" w:eastAsia="宋体"/>
                  <w:sz w:val="20"/>
                  <w:lang w:val="en-US" w:eastAsia="zh-CN"/>
                </w:rPr>
                <m:t>tx,dl</m:t>
              </m:r>
              <m:ctrlPr>
                <w:rPr>
                  <w:rFonts w:hint="default" w:ascii="Cambria Math" w:hAnsi="Cambria Math" w:eastAsia="宋体"/>
                  <w:i/>
                  <w:iCs/>
                  <w:sz w:val="20"/>
                  <w:lang w:val="en-US" w:eastAsia="zh-CN"/>
                </w:rPr>
              </m:ctrlPr>
            </m:sub>
          </m:sSub>
        </m:oMath>
      </m:oMathPara>
    </w:p>
    <w:p w14:paraId="680651FA">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2: It is feasible for NTN UE to estimate downlink frequency offset by calculating the difference between Rx frequency and Tx frequency of synchronization signal.</w:t>
      </w:r>
    </w:p>
    <w:p w14:paraId="04BF94D6">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The following discussion is about Tx frequency determination.</w:t>
      </w:r>
    </w:p>
    <w:p w14:paraId="33DA7496">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 xml:space="preserve">Frequency offset in NTN scenarios is illustrated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_Ref19771 \h </w:instrText>
      </w:r>
      <w:r>
        <w:rPr>
          <w:rFonts w:hint="eastAsia" w:hAnsi="Cambria Math" w:eastAsia="宋体"/>
          <w:sz w:val="20"/>
          <w:lang w:val="en-US" w:eastAsia="zh-CN"/>
        </w:rPr>
        <w:fldChar w:fldCharType="separate"/>
      </w:r>
      <w:r>
        <w:t>Table 1</w:t>
      </w:r>
      <w:r>
        <w:rPr>
          <w:rFonts w:hint="eastAsia" w:hAnsi="Cambria Math" w:eastAsia="宋体"/>
          <w:sz w:val="20"/>
          <w:lang w:val="en-US" w:eastAsia="zh-CN"/>
        </w:rPr>
        <w:fldChar w:fldCharType="end"/>
      </w:r>
      <w:r>
        <w:rPr>
          <w:rFonts w:hint="eastAsia" w:hAnsi="Cambria Math" w:eastAsia="宋体"/>
          <w:sz w:val="20"/>
          <w:lang w:val="en-US" w:eastAsia="zh-CN"/>
        </w:rPr>
        <w:t xml:space="preserve"> if the velocity at UE side is assumed to be 0.  As per Table 5.4.3.1-1 and Table 5.4.3.1-2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_Ref20173 \n \h </w:instrText>
      </w:r>
      <w:r>
        <w:rPr>
          <w:rFonts w:hint="eastAsia" w:hAnsi="Cambria Math" w:eastAsia="宋体"/>
          <w:sz w:val="20"/>
          <w:lang w:val="en-US" w:eastAsia="zh-CN"/>
        </w:rPr>
        <w:fldChar w:fldCharType="separate"/>
      </w:r>
      <w:r>
        <w:rPr>
          <w:rFonts w:hint="eastAsia" w:hAnsi="Cambria Math" w:eastAsia="宋体"/>
          <w:sz w:val="20"/>
          <w:lang w:val="en-US" w:eastAsia="zh-CN"/>
        </w:rPr>
        <w:t>[1]</w:t>
      </w:r>
      <w:r>
        <w:rPr>
          <w:rFonts w:hint="eastAsia" w:hAnsi="Cambria Math" w:eastAsia="宋体"/>
          <w:sz w:val="20"/>
          <w:lang w:val="en-US" w:eastAsia="zh-CN"/>
        </w:rPr>
        <w:fldChar w:fldCharType="end"/>
      </w:r>
      <w:r>
        <w:rPr>
          <w:rFonts w:hint="eastAsia" w:hAnsi="Cambria Math" w:eastAsia="宋体"/>
          <w:sz w:val="20"/>
          <w:lang w:val="en-US" w:eastAsia="zh-CN"/>
        </w:rPr>
        <w:t xml:space="preserve">, the spacing of SSB frequency position is  100kHz or 1.4MHz in frequency rage 0-3000 or 3000-24250 MHz respectively. </w:t>
      </w:r>
    </w:p>
    <w:p w14:paraId="47904464">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3: The frequency offset in NTN radio link is comparable with the spacing of GSCN.</w:t>
      </w:r>
    </w:p>
    <w:p w14:paraId="28066B06">
      <w:pPr>
        <w:pStyle w:val="8"/>
        <w:jc w:val="center"/>
        <w:rPr>
          <w:rFonts w:hint="default" w:eastAsia="宋体"/>
          <w:lang w:val="en-US" w:eastAsia="zh-CN"/>
        </w:rPr>
      </w:pPr>
      <w:bookmarkStart w:id="7" w:name="_Ref19771"/>
      <w:r>
        <w:t xml:space="preserve">Table </w:t>
      </w:r>
      <w:r>
        <w:fldChar w:fldCharType="begin"/>
      </w:r>
      <w:r>
        <w:instrText xml:space="preserve"> SEQ Table \* ARABIC </w:instrText>
      </w:r>
      <w:r>
        <w:fldChar w:fldCharType="separate"/>
      </w:r>
      <w:r>
        <w:t>1</w:t>
      </w:r>
      <w:r>
        <w:fldChar w:fldCharType="end"/>
      </w:r>
      <w:bookmarkEnd w:id="7"/>
      <w:r>
        <w:rPr>
          <w:rFonts w:hint="eastAsia" w:eastAsia="宋体"/>
          <w:lang w:val="en-US" w:eastAsia="zh-CN"/>
        </w:rPr>
        <w:t xml:space="preserve"> Frequency Offset in NTN scenarios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380"/>
        <w:gridCol w:w="1328"/>
        <w:gridCol w:w="1684"/>
        <w:gridCol w:w="1525"/>
      </w:tblGrid>
      <w:tr w14:paraId="1C49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tcPr>
          <w:p w14:paraId="00331D21">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Carrier Freq (MHz)</w:t>
            </w:r>
          </w:p>
        </w:tc>
        <w:tc>
          <w:tcPr>
            <w:tcW w:w="1380" w:type="dxa"/>
          </w:tcPr>
          <w:p w14:paraId="749A83F8">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Orbit Height (km)</w:t>
            </w:r>
          </w:p>
        </w:tc>
        <w:tc>
          <w:tcPr>
            <w:tcW w:w="1328" w:type="dxa"/>
          </w:tcPr>
          <w:p w14:paraId="33E63A1E">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Velocity (m/s)</w:t>
            </w:r>
          </w:p>
        </w:tc>
        <w:tc>
          <w:tcPr>
            <w:tcW w:w="1684" w:type="dxa"/>
          </w:tcPr>
          <w:p w14:paraId="2274D303">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UE Elevation (degree)</w:t>
            </w:r>
          </w:p>
        </w:tc>
        <w:tc>
          <w:tcPr>
            <w:tcW w:w="1525" w:type="dxa"/>
          </w:tcPr>
          <w:p w14:paraId="5D6C54C4">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Freq Offset (kHz)</w:t>
            </w:r>
          </w:p>
        </w:tc>
      </w:tr>
      <w:tr w14:paraId="6F86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vAlign w:val="top"/>
          </w:tcPr>
          <w:p w14:paraId="353C5A2D">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3000</w:t>
            </w:r>
          </w:p>
        </w:tc>
        <w:tc>
          <w:tcPr>
            <w:tcW w:w="1380" w:type="dxa"/>
          </w:tcPr>
          <w:p w14:paraId="51F52088">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600</w:t>
            </w:r>
          </w:p>
        </w:tc>
        <w:tc>
          <w:tcPr>
            <w:tcW w:w="1328" w:type="dxa"/>
          </w:tcPr>
          <w:p w14:paraId="50F390E3">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7562</w:t>
            </w:r>
          </w:p>
        </w:tc>
        <w:tc>
          <w:tcPr>
            <w:tcW w:w="1684" w:type="dxa"/>
          </w:tcPr>
          <w:p w14:paraId="5F07AF3D">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20603509">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65.49</w:t>
            </w:r>
          </w:p>
        </w:tc>
      </w:tr>
      <w:tr w14:paraId="2904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vAlign w:val="top"/>
          </w:tcPr>
          <w:p w14:paraId="346BF919">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24250</w:t>
            </w:r>
          </w:p>
        </w:tc>
        <w:tc>
          <w:tcPr>
            <w:tcW w:w="1380" w:type="dxa"/>
          </w:tcPr>
          <w:p w14:paraId="1CB66DAC">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600</w:t>
            </w:r>
          </w:p>
        </w:tc>
        <w:tc>
          <w:tcPr>
            <w:tcW w:w="1328" w:type="dxa"/>
          </w:tcPr>
          <w:p w14:paraId="31A4F8AE">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7562</w:t>
            </w:r>
          </w:p>
        </w:tc>
        <w:tc>
          <w:tcPr>
            <w:tcW w:w="1684" w:type="dxa"/>
          </w:tcPr>
          <w:p w14:paraId="687DEB30">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3382A837">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529.35</w:t>
            </w:r>
          </w:p>
        </w:tc>
      </w:tr>
      <w:tr w14:paraId="5EF0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tcPr>
          <w:p w14:paraId="590169DF">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3000</w:t>
            </w:r>
          </w:p>
        </w:tc>
        <w:tc>
          <w:tcPr>
            <w:tcW w:w="1380" w:type="dxa"/>
          </w:tcPr>
          <w:p w14:paraId="5996637C">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w:t>
            </w:r>
          </w:p>
        </w:tc>
        <w:tc>
          <w:tcPr>
            <w:tcW w:w="1328" w:type="dxa"/>
          </w:tcPr>
          <w:p w14:paraId="07A5E4F9">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7730</w:t>
            </w:r>
          </w:p>
        </w:tc>
        <w:tc>
          <w:tcPr>
            <w:tcW w:w="1684" w:type="dxa"/>
          </w:tcPr>
          <w:p w14:paraId="6FD85C5E">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1F5CE261">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66.94</w:t>
            </w:r>
          </w:p>
        </w:tc>
      </w:tr>
      <w:tr w14:paraId="6B88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2" w:type="dxa"/>
          </w:tcPr>
          <w:p w14:paraId="2027A23B">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24250</w:t>
            </w:r>
          </w:p>
        </w:tc>
        <w:tc>
          <w:tcPr>
            <w:tcW w:w="1380" w:type="dxa"/>
          </w:tcPr>
          <w:p w14:paraId="0BFB8FFE">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300</w:t>
            </w:r>
          </w:p>
        </w:tc>
        <w:tc>
          <w:tcPr>
            <w:tcW w:w="1328" w:type="dxa"/>
          </w:tcPr>
          <w:p w14:paraId="0CAB1058">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7730</w:t>
            </w:r>
          </w:p>
        </w:tc>
        <w:tc>
          <w:tcPr>
            <w:tcW w:w="1684" w:type="dxa"/>
          </w:tcPr>
          <w:p w14:paraId="55FE605B">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30</w:t>
            </w:r>
          </w:p>
        </w:tc>
        <w:tc>
          <w:tcPr>
            <w:tcW w:w="1525" w:type="dxa"/>
          </w:tcPr>
          <w:p w14:paraId="0DD4CDCB">
            <w:pPr>
              <w:spacing w:before="120" w:beforeLines="50" w:after="120"/>
              <w:jc w:val="center"/>
              <w:rPr>
                <w:rFonts w:hint="default" w:hAnsi="Cambria Math" w:eastAsia="宋体"/>
                <w:sz w:val="20"/>
                <w:vertAlign w:val="baseline"/>
                <w:lang w:val="en-US" w:eastAsia="zh-CN"/>
              </w:rPr>
            </w:pPr>
            <w:r>
              <w:rPr>
                <w:rFonts w:hint="eastAsia" w:hAnsi="Cambria Math" w:eastAsia="宋体"/>
                <w:sz w:val="20"/>
                <w:vertAlign w:val="baseline"/>
                <w:lang w:val="en-US" w:eastAsia="zh-CN"/>
              </w:rPr>
              <w:t>541.12</w:t>
            </w:r>
          </w:p>
        </w:tc>
      </w:tr>
    </w:tbl>
    <w:p w14:paraId="5F874FC4">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Due to the presence of significant frequency offset, especially for NGSO satellite payload, the frequency at which SSB is detected may not necessarily correspond to the nearby GSCN frequency. To avoid frequency confusion, the NTN UE determines the actual frequency used for SSB transmission based on the network's indication information.</w:t>
      </w:r>
    </w:p>
    <w:p w14:paraId="4D8E1731">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Observation 4: An indication signaling of GSCN is necessary to avoid frequency confusion due to significant offset.</w:t>
      </w:r>
    </w:p>
    <w:p w14:paraId="38330DC9">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3: A new IE should be introduced in SIB19 to indicate the corresponding GSCN.</w:t>
      </w:r>
    </w:p>
    <w:p w14:paraId="06517591">
      <w:pPr>
        <w:spacing w:before="120" w:beforeLines="50" w:after="120"/>
        <w:jc w:val="both"/>
        <w:rPr>
          <w:rFonts w:hint="default" w:hAnsi="Cambria Math" w:eastAsia="宋体"/>
          <w:sz w:val="20"/>
          <w:lang w:val="en-US" w:eastAsia="zh-CN"/>
        </w:rPr>
      </w:pPr>
      <w:r>
        <w:rPr>
          <w:rFonts w:hint="default" w:hAnsi="Cambria Math" w:eastAsia="宋体"/>
          <w:sz w:val="20"/>
          <w:lang w:val="en-US" w:eastAsia="zh-CN"/>
        </w:rPr>
        <w:t>Considering that</w:t>
      </w:r>
      <w:r>
        <w:rPr>
          <w:rFonts w:hint="eastAsia" w:hAnsi="Cambria Math" w:eastAsia="宋体"/>
          <w:sz w:val="20"/>
          <w:lang w:val="en-US" w:eastAsia="zh-CN"/>
        </w:rPr>
        <w:t xml:space="preserve"> the frequency offset caused by NTN radio link is limited, it may be unnecessary to provide the whole GSCN value. For example, even if UE is provided LSB of GSCN only, the DL transmission frequency can be still determined by finding the nearest one from Rx frequency which matches the indicated GSCN LSB. According to the typical frequency offset in </w:t>
      </w: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_Ref19771 \h </w:instrText>
      </w:r>
      <w:r>
        <w:rPr>
          <w:rFonts w:hint="eastAsia" w:hAnsi="Cambria Math" w:eastAsia="宋体"/>
          <w:sz w:val="20"/>
          <w:lang w:val="en-US" w:eastAsia="zh-CN"/>
        </w:rPr>
        <w:fldChar w:fldCharType="separate"/>
      </w:r>
      <w:r>
        <w:t>Table 1</w:t>
      </w:r>
      <w:r>
        <w:rPr>
          <w:rFonts w:hint="eastAsia" w:hAnsi="Cambria Math" w:eastAsia="宋体"/>
          <w:sz w:val="20"/>
          <w:lang w:val="en-US" w:eastAsia="zh-CN"/>
        </w:rPr>
        <w:fldChar w:fldCharType="end"/>
      </w:r>
      <w:r>
        <w:rPr>
          <w:rFonts w:hint="eastAsia" w:hAnsi="Cambria Math" w:eastAsia="宋体"/>
          <w:sz w:val="20"/>
          <w:lang w:val="en-US" w:eastAsia="zh-CN"/>
        </w:rPr>
        <w:t xml:space="preserve">, the offset may not exceed spacing of 2 continued GSCN. Therefore  2 LSB is enough for UE to determine GSCN. </w:t>
      </w:r>
    </w:p>
    <w:p w14:paraId="0A9CE247">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4: The IE indicating frequency of SSB should provide at least 2 LSB of GSCN.</w:t>
      </w:r>
    </w:p>
    <w:p w14:paraId="01585E77">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If downlink frequency offset is known, the uplink frequency offset can be derived as per downlink and uplink carrier frequency.</w:t>
      </w:r>
    </w:p>
    <w:p w14:paraId="6664FD2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 xml:space="preserve">Observation 5: The uplink frequency offset can be derived from downlink frequency offset by the formula of </w:t>
      </w:r>
      <m:oMath>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∙scalingFactor=(</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rx, 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tx, 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)∙(2∙</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ul,c</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dl,c</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oMath>
      <w:r>
        <w:rPr>
          <w:rFonts w:hint="eastAsia" w:hAnsi="Cambria Math" w:eastAsia="宋体"/>
          <w:b/>
          <w:bCs/>
          <w:i/>
          <w:iCs/>
          <w:sz w:val="20"/>
          <w:lang w:val="en-US" w:eastAsia="zh-CN"/>
        </w:rPr>
        <w:t>.</w:t>
      </w:r>
    </w:p>
    <w:p w14:paraId="2CE2AAB0">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5: UE can derive uplink frequency offset by receiving downlink frequency, transmitting downlink frequency (indicated GSCN), and scaling factor from DL and UL carrier frequency.</w:t>
      </w:r>
    </w:p>
    <w:p w14:paraId="53EE0E3C">
      <w:pPr>
        <w:spacing w:before="120" w:beforeLines="50" w:after="120"/>
        <w:jc w:val="both"/>
        <w:rPr>
          <w:rFonts w:hint="default" w:hAnsi="Cambria Math" w:eastAsia="宋体"/>
          <w:sz w:val="20"/>
          <w:lang w:val="en-US" w:eastAsia="zh-CN"/>
        </w:rPr>
      </w:pPr>
    </w:p>
    <w:p w14:paraId="52658556">
      <w:pPr>
        <w:pStyle w:val="4"/>
        <w:numPr>
          <w:ilvl w:val="1"/>
          <w:numId w:val="5"/>
        </w:numPr>
        <w:bidi w:val="0"/>
        <w:rPr>
          <w:rFonts w:hint="default"/>
          <w:lang w:val="en-US" w:eastAsia="zh-CN"/>
        </w:rPr>
      </w:pPr>
      <w:r>
        <w:rPr>
          <w:rFonts w:hint="default"/>
          <w:lang w:val="en-US" w:eastAsia="zh-CN"/>
        </w:rPr>
        <w:t>Potential solutions for PRACH</w:t>
      </w:r>
    </w:p>
    <w:p w14:paraId="35C29936">
      <w:pPr>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For the study on GNSS resilient NR-NTN operation, the following solutions for initial access to increase PRACH tolerance and reducing time/frequency uncertainty are listed based on inputs/discussions in RAN1#122bis</w:t>
      </w:r>
      <w:r>
        <w:rPr>
          <w:rFonts w:hint="eastAsia" w:ascii="Times New Roman" w:hAnsi="Times New Roman" w:eastAsia="宋体"/>
          <w:bCs/>
          <w:color w:val="000000" w:themeColor="text1"/>
          <w:sz w:val="20"/>
          <w:szCs w:val="20"/>
          <w:lang w:val="en-US" w:eastAsia="zh-CN"/>
          <w14:textFill>
            <w14:solidFill>
              <w14:schemeClr w14:val="tx1"/>
            </w14:solidFill>
          </w14:textFill>
        </w:rPr>
        <w:t xml:space="preserve"> and </w:t>
      </w:r>
      <w:r>
        <w:rPr>
          <w:rFonts w:ascii="Times New Roman" w:hAnsi="Times New Roman"/>
          <w:bCs/>
          <w:color w:val="000000" w:themeColor="text1"/>
          <w:sz w:val="20"/>
          <w:szCs w:val="20"/>
          <w:lang w:val="en-US"/>
          <w14:textFill>
            <w14:solidFill>
              <w14:schemeClr w14:val="tx1"/>
            </w14:solidFill>
          </w14:textFill>
        </w:rPr>
        <w:t>RAN1#12</w:t>
      </w:r>
      <w:r>
        <w:rPr>
          <w:rFonts w:hint="eastAsia" w:eastAsia="宋体"/>
          <w:bCs/>
          <w:color w:val="000000" w:themeColor="text1"/>
          <w:sz w:val="20"/>
          <w:szCs w:val="20"/>
          <w:lang w:val="en-US" w:eastAsia="zh-CN"/>
          <w14:textFill>
            <w14:solidFill>
              <w14:schemeClr w14:val="tx1"/>
            </w14:solidFill>
          </w14:textFill>
        </w:rPr>
        <w:t>3</w:t>
      </w:r>
      <w:r>
        <w:rPr>
          <w:rFonts w:ascii="Times New Roman" w:hAnsi="Times New Roman"/>
          <w:bCs/>
          <w:color w:val="000000" w:themeColor="text1"/>
          <w:sz w:val="20"/>
          <w:szCs w:val="20"/>
          <w:lang w:val="en-US"/>
          <w14:textFill>
            <w14:solidFill>
              <w14:schemeClr w14:val="tx1"/>
            </w14:solidFill>
          </w14:textFill>
        </w:rPr>
        <w:t>:</w:t>
      </w:r>
    </w:p>
    <w:p w14:paraId="35C29937">
      <w:pPr>
        <w:pStyle w:val="54"/>
        <w:numPr>
          <w:ilvl w:val="0"/>
          <w:numId w:val="11"/>
        </w:numPr>
        <w:tabs>
          <w:tab w:val="left" w:pos="0"/>
          <w:tab w:val="clear" w:pos="-420"/>
        </w:tabs>
        <w:ind w:left="-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 xml:space="preserve">Solution 1: To improve robustness: </w:t>
      </w:r>
    </w:p>
    <w:p w14:paraId="35C29938">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Solutions based on modified random access procedures, using existing PRACH formats:</w:t>
      </w:r>
    </w:p>
    <w:p w14:paraId="35C29939">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 xml:space="preserve">Solution 1A: Multiple PRACH transmissions </w:t>
      </w:r>
      <w:r>
        <w:rPr>
          <w:rFonts w:ascii="Times New Roman" w:hAnsi="Times New Roman"/>
          <w:bCs/>
          <w:strike/>
          <w:color w:val="000000" w:themeColor="text1"/>
          <w:sz w:val="20"/>
          <w:szCs w:val="20"/>
          <w:lang w:val="en-US"/>
          <w14:textFill>
            <w14:solidFill>
              <w14:schemeClr w14:val="tx1"/>
            </w14:solidFill>
          </w14:textFill>
        </w:rPr>
        <w:t>(</w:t>
      </w:r>
      <w:r>
        <w:rPr>
          <w:rFonts w:ascii="Times New Roman" w:hAnsi="Times New Roman"/>
          <w:bCs/>
          <w:color w:val="000000" w:themeColor="text1"/>
          <w:sz w:val="20"/>
          <w:szCs w:val="20"/>
          <w:lang w:val="en-US"/>
          <w14:textFill>
            <w14:solidFill>
              <w14:schemeClr w14:val="tx1"/>
            </w14:solidFill>
          </w14:textFill>
        </w:rPr>
        <w:t>e.g. with different roots or different formats or with different time/frequency pre-compensation using multiple reference locations within the uncertainty area) using existing PRACH formats</w:t>
      </w:r>
    </w:p>
    <w:p w14:paraId="35C2993A">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1B: New PRACH restricted sets.</w:t>
      </w:r>
    </w:p>
    <w:p w14:paraId="35C2993B">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1C: Single PRACH transmission with multiple TAC/FAC commands in RAR</w:t>
      </w:r>
    </w:p>
    <w:p w14:paraId="35C2993C">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 xml:space="preserve">Solution </w:t>
      </w:r>
      <w:r>
        <w:rPr>
          <w:rFonts w:ascii="Times New Roman" w:hAnsi="Times New Roman" w:eastAsia="MS Mincho"/>
          <w:bCs/>
          <w:color w:val="000000" w:themeColor="text1"/>
          <w:sz w:val="20"/>
          <w:szCs w:val="20"/>
          <w:lang w:eastAsia="ja-JP"/>
          <w14:textFill>
            <w14:solidFill>
              <w14:schemeClr w14:val="tx1"/>
            </w14:solidFill>
          </w14:textFill>
        </w:rPr>
        <w:t>1D: Signalling enhancements for Msg2 (e.g. enhanced TA command, frequency adjustment command, reference point adjustment command)</w:t>
      </w:r>
    </w:p>
    <w:p w14:paraId="35C2993D">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1E: Selection of a set of existing PRACH root</w:t>
      </w:r>
    </w:p>
    <w:p w14:paraId="35C2993E">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1F: Using TA margin and RO masking.</w:t>
      </w:r>
    </w:p>
    <w:p w14:paraId="35C2993F">
      <w:pPr>
        <w:pStyle w:val="54"/>
        <w:numPr>
          <w:ilvl w:val="2"/>
          <w:numId w:val="11"/>
        </w:numPr>
        <w:tabs>
          <w:tab w:val="left" w:pos="0"/>
          <w:tab w:val="clear" w:pos="-420"/>
        </w:tabs>
        <w:ind w:left="138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Other solutions are not precluded</w:t>
      </w:r>
    </w:p>
    <w:p w14:paraId="35C29940">
      <w:pPr>
        <w:pStyle w:val="54"/>
        <w:numPr>
          <w:ilvl w:val="0"/>
          <w:numId w:val="11"/>
        </w:numPr>
        <w:tabs>
          <w:tab w:val="left" w:pos="0"/>
          <w:tab w:val="clear" w:pos="-420"/>
        </w:tabs>
        <w:ind w:left="-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 xml:space="preserve">Solution 2: Solutions based on reducing time-frequency uncertainty </w:t>
      </w:r>
    </w:p>
    <w:p w14:paraId="35C29941">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2A: Single/multi-satellite DL-TDOA based on current specifications.</w:t>
      </w:r>
    </w:p>
    <w:p w14:paraId="35C29942">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2B: multiple PRACH attempts based on different time/frequency pre-compensation hypotheses (e.g. based on multiple reference points within the uncertainty area)</w:t>
      </w:r>
    </w:p>
    <w:p w14:paraId="35C29943">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2C: Solutions based on broadcasting DL timestamp(s)</w:t>
      </w:r>
    </w:p>
    <w:p w14:paraId="35C29944">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 xml:space="preserve">Solution </w:t>
      </w:r>
      <w:r>
        <w:rPr>
          <w:rFonts w:ascii="Times New Roman" w:hAnsi="Times New Roman" w:eastAsia="Times New Roman"/>
          <w:bCs/>
          <w:color w:val="000000" w:themeColor="text1"/>
          <w:sz w:val="20"/>
          <w:szCs w:val="20"/>
          <w:lang w:val="en-US" w:eastAsia="zh-CN"/>
          <w14:textFill>
            <w14:solidFill>
              <w14:schemeClr w14:val="tx1"/>
            </w14:solidFill>
          </w14:textFill>
        </w:rPr>
        <w:t xml:space="preserve">2D: UE side </w:t>
      </w:r>
      <w:r>
        <w:rPr>
          <w:rFonts w:ascii="Times New Roman" w:hAnsi="Times New Roman"/>
          <w:bCs/>
          <w:color w:val="000000" w:themeColor="text1"/>
          <w:sz w:val="20"/>
          <w:szCs w:val="20"/>
          <w:lang w:val="en-US"/>
          <w14:textFill>
            <w14:solidFill>
              <w14:schemeClr w14:val="tx1"/>
            </w14:solidFill>
          </w14:textFill>
        </w:rPr>
        <w:t>time/frequency pre-compensation</w:t>
      </w:r>
      <w:r>
        <w:rPr>
          <w:rFonts w:ascii="Times New Roman" w:hAnsi="Times New Roman" w:eastAsia="Times New Roman"/>
          <w:bCs/>
          <w:color w:val="000000" w:themeColor="text1"/>
          <w:sz w:val="20"/>
          <w:szCs w:val="20"/>
          <w:lang w:val="en-US" w:eastAsia="zh-CN"/>
          <w14:textFill>
            <w14:solidFill>
              <w14:schemeClr w14:val="tx1"/>
            </w14:solidFill>
          </w14:textFill>
        </w:rPr>
        <w:t xml:space="preserve"> based on reference location.</w:t>
      </w:r>
    </w:p>
    <w:p w14:paraId="35C29945">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2E: service link time/frequency pre-compensation based on last acquired GNSS position</w:t>
      </w:r>
    </w:p>
    <w:p w14:paraId="35C29946">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2F:</w:t>
      </w:r>
      <w:r>
        <w:rPr>
          <w:rFonts w:ascii="Times New Roman" w:hAnsi="Times New Roman" w:eastAsia="Times New Roman"/>
          <w:bCs/>
          <w:color w:val="000000" w:themeColor="text1"/>
          <w:sz w:val="20"/>
          <w:szCs w:val="20"/>
          <w:lang w:val="en-US"/>
          <w14:textFill>
            <w14:solidFill>
              <w14:schemeClr w14:val="tx1"/>
            </w14:solidFill>
          </w14:textFill>
        </w:rPr>
        <w:t xml:space="preserve"> UE side </w:t>
      </w:r>
      <w:r>
        <w:rPr>
          <w:rFonts w:ascii="Times New Roman" w:hAnsi="Times New Roman"/>
          <w:bCs/>
          <w:color w:val="000000" w:themeColor="text1"/>
          <w:sz w:val="20"/>
          <w:szCs w:val="20"/>
          <w:lang w:val="en-US"/>
          <w14:textFill>
            <w14:solidFill>
              <w14:schemeClr w14:val="tx1"/>
            </w14:solidFill>
          </w14:textFill>
        </w:rPr>
        <w:t>time/frequency pre-compensation</w:t>
      </w:r>
      <w:r>
        <w:rPr>
          <w:rFonts w:ascii="Times New Roman" w:hAnsi="Times New Roman" w:eastAsia="Times New Roman"/>
          <w:bCs/>
          <w:color w:val="000000" w:themeColor="text1"/>
          <w:sz w:val="20"/>
          <w:szCs w:val="20"/>
          <w:lang w:val="en-US"/>
          <w14:textFill>
            <w14:solidFill>
              <w14:schemeClr w14:val="tx1"/>
            </w14:solidFill>
          </w14:textFill>
        </w:rPr>
        <w:t xml:space="preserve"> based on reference signal.</w:t>
      </w:r>
    </w:p>
    <w:p w14:paraId="35C29947">
      <w:pPr>
        <w:pStyle w:val="54"/>
        <w:numPr>
          <w:ilvl w:val="1"/>
          <w:numId w:val="11"/>
        </w:numPr>
        <w:tabs>
          <w:tab w:val="left" w:pos="0"/>
          <w:tab w:val="clear" w:pos="-420"/>
        </w:tabs>
        <w:ind w:left="6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Other solutions are not precluded</w:t>
      </w:r>
    </w:p>
    <w:p w14:paraId="35C29948">
      <w:pPr>
        <w:pStyle w:val="54"/>
        <w:numPr>
          <w:ilvl w:val="0"/>
          <w:numId w:val="11"/>
        </w:numPr>
        <w:tabs>
          <w:tab w:val="left" w:pos="0"/>
          <w:tab w:val="clear" w:pos="-420"/>
        </w:tabs>
        <w:ind w:left="-60" w:leftChars="0"/>
        <w:rPr>
          <w:rFonts w:ascii="Times New Roman" w:hAnsi="Times New Roman"/>
          <w:bCs/>
          <w:color w:val="000000" w:themeColor="text1"/>
          <w:sz w:val="20"/>
          <w:szCs w:val="20"/>
          <w:lang w:val="en-US"/>
          <w14:textFill>
            <w14:solidFill>
              <w14:schemeClr w14:val="tx1"/>
            </w14:solidFill>
          </w14:textFill>
        </w:rPr>
      </w:pPr>
      <w:r>
        <w:rPr>
          <w:rFonts w:ascii="Times New Roman" w:hAnsi="Times New Roman"/>
          <w:bCs/>
          <w:color w:val="000000" w:themeColor="text1"/>
          <w:sz w:val="20"/>
          <w:szCs w:val="20"/>
          <w:lang w:val="en-US"/>
          <w14:textFill>
            <w14:solidFill>
              <w14:schemeClr w14:val="tx1"/>
            </w14:solidFill>
          </w14:textFill>
        </w:rPr>
        <w:t>Solution 3: Implementation-based techniques e.g. using a long enough PRACH processing window and multiple timing hypotheses for PRACH preamble reception with large max differential delay.</w:t>
      </w:r>
    </w:p>
    <w:p w14:paraId="08200DB3">
      <w:pPr>
        <w:spacing w:before="120" w:beforeLines="50" w:after="120"/>
        <w:jc w:val="both"/>
        <w:rPr>
          <w:rFonts w:hint="default" w:hAnsi="Cambria Math" w:eastAsia="宋体"/>
          <w:sz w:val="20"/>
          <w:lang w:eastAsia="zh-CN"/>
        </w:rPr>
      </w:pPr>
      <w:r>
        <w:rPr>
          <w:rFonts w:ascii="Times New Roman" w:hAnsi="Times New Roman"/>
          <w:bCs/>
          <w:color w:val="000000" w:themeColor="text1"/>
          <w:sz w:val="20"/>
          <w:szCs w:val="20"/>
          <w:lang w:val="en-US"/>
          <w14:textFill>
            <w14:solidFill>
              <w14:schemeClr w14:val="tx1"/>
            </w14:solidFill>
          </w14:textFill>
        </w:rPr>
        <w:t>Other Solutions are not precluded</w:t>
      </w:r>
      <w:r>
        <w:rPr>
          <w:bCs/>
          <w:color w:val="000000" w:themeColor="text1"/>
          <w:sz w:val="20"/>
          <w:szCs w:val="20"/>
          <w14:textFill>
            <w14:solidFill>
              <w14:schemeClr w14:val="tx1"/>
            </w14:solidFill>
          </w14:textFill>
        </w:rPr>
        <w:t>.</w:t>
      </w:r>
    </w:p>
    <w:p w14:paraId="3217C833">
      <w:pPr>
        <w:spacing w:before="120" w:beforeLines="50" w:after="120"/>
        <w:jc w:val="both"/>
        <w:rPr>
          <w:rFonts w:hint="default" w:hAnsi="Cambria Math" w:eastAsia="宋体"/>
          <w:sz w:val="20"/>
          <w:lang w:val="en-US" w:eastAsia="zh-CN"/>
        </w:rPr>
      </w:pPr>
    </w:p>
    <w:p w14:paraId="7E913D55">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In Sageran</w:t>
      </w:r>
      <w:r>
        <w:rPr>
          <w:rFonts w:hint="default" w:hAnsi="Cambria Math" w:eastAsia="宋体"/>
          <w:sz w:val="20"/>
          <w:lang w:val="en-US" w:eastAsia="zh-CN"/>
        </w:rPr>
        <w:t>’</w:t>
      </w:r>
      <w:r>
        <w:rPr>
          <w:rFonts w:hint="eastAsia" w:hAnsi="Cambria Math" w:eastAsia="宋体"/>
          <w:sz w:val="20"/>
          <w:lang w:val="en-US" w:eastAsia="zh-CN"/>
        </w:rPr>
        <w:t xml:space="preserve">s opinion, it is considered that less impact should be introduced into the physical layer. Sageran prefers no changes on PRACH format or restrict set. </w:t>
      </w:r>
    </w:p>
    <w:p w14:paraId="3DBBFE46">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6: Solution 1A / 2B for PRACH should be supported.</w:t>
      </w:r>
    </w:p>
    <w:p w14:paraId="12C7C7B1">
      <w:pPr>
        <w:spacing w:before="120" w:beforeLines="50" w:after="120"/>
        <w:jc w:val="both"/>
        <w:rPr>
          <w:rFonts w:hint="eastAsia" w:eastAsia="宋体"/>
          <w:bCs/>
          <w:color w:val="000000" w:themeColor="text1"/>
          <w:sz w:val="20"/>
          <w:szCs w:val="20"/>
          <w:lang w:val="en-US" w:eastAsia="zh-CN"/>
          <w14:textFill>
            <w14:solidFill>
              <w14:schemeClr w14:val="tx1"/>
            </w14:solidFill>
          </w14:textFill>
        </w:rPr>
      </w:pPr>
      <w:r>
        <w:rPr>
          <w:rFonts w:hint="eastAsia" w:hAnsi="Cambria Math" w:eastAsia="宋体"/>
          <w:sz w:val="20"/>
          <w:lang w:val="en-US" w:eastAsia="zh-CN"/>
        </w:rPr>
        <w:t xml:space="preserve">For solution 1C / </w:t>
      </w:r>
      <w:r>
        <w:rPr>
          <w:rFonts w:ascii="Times New Roman" w:hAnsi="Times New Roman" w:eastAsia="MS Mincho"/>
          <w:bCs/>
          <w:color w:val="000000" w:themeColor="text1"/>
          <w:sz w:val="20"/>
          <w:szCs w:val="20"/>
          <w:lang w:eastAsia="ja-JP"/>
          <w14:textFill>
            <w14:solidFill>
              <w14:schemeClr w14:val="tx1"/>
            </w14:solidFill>
          </w14:textFill>
        </w:rPr>
        <w:t>1D</w:t>
      </w:r>
      <w:r>
        <w:rPr>
          <w:rFonts w:hint="eastAsia" w:eastAsia="宋体"/>
          <w:bCs/>
          <w:color w:val="000000" w:themeColor="text1"/>
          <w:sz w:val="20"/>
          <w:szCs w:val="20"/>
          <w:lang w:val="en-US" w:eastAsia="zh-CN"/>
          <w14:textFill>
            <w14:solidFill>
              <w14:schemeClr w14:val="tx1"/>
            </w14:solidFill>
          </w14:textFill>
        </w:rPr>
        <w:t xml:space="preserve">, it may require that </w:t>
      </w:r>
      <w:r>
        <w:rPr>
          <w:rFonts w:ascii="Times New Roman" w:hAnsi="Times New Roman"/>
          <w:bCs/>
          <w:color w:val="000000" w:themeColor="text1"/>
          <w:sz w:val="20"/>
          <w:szCs w:val="20"/>
          <w:lang w:val="en-US"/>
          <w14:textFill>
            <w14:solidFill>
              <w14:schemeClr w14:val="tx1"/>
            </w14:solidFill>
          </w14:textFill>
        </w:rPr>
        <w:t>time/frequency pre-compensation</w:t>
      </w:r>
      <w:r>
        <w:rPr>
          <w:rFonts w:hint="eastAsia" w:eastAsia="宋体"/>
          <w:bCs/>
          <w:color w:val="000000" w:themeColor="text1"/>
          <w:sz w:val="20"/>
          <w:szCs w:val="20"/>
          <w:lang w:val="en-US" w:eastAsia="zh-CN"/>
          <w14:textFill>
            <w14:solidFill>
              <w14:schemeClr w14:val="tx1"/>
            </w14:solidFill>
          </w14:textFill>
        </w:rPr>
        <w:t xml:space="preserve"> attempts are performed in gNB side, which helps gNB be able to detect the preamble with large time/frequency offset and then indicate UE the adjustments. </w:t>
      </w:r>
      <w:r>
        <w:rPr>
          <w:rFonts w:hint="eastAsia" w:hAnsi="Cambria Math" w:eastAsia="宋体"/>
          <w:sz w:val="20"/>
          <w:lang w:val="en-US" w:eastAsia="zh-CN"/>
        </w:rPr>
        <w:t xml:space="preserve">However, such solution would cause the complexity increasing on </w:t>
      </w:r>
      <w:r>
        <w:rPr>
          <w:rFonts w:hint="eastAsia" w:eastAsia="宋体"/>
          <w:bCs/>
          <w:color w:val="000000" w:themeColor="text1"/>
          <w:sz w:val="20"/>
          <w:szCs w:val="20"/>
          <w:lang w:val="en-US" w:eastAsia="zh-CN"/>
          <w14:textFill>
            <w14:solidFill>
              <w14:schemeClr w14:val="tx1"/>
            </w14:solidFill>
          </w14:textFill>
        </w:rPr>
        <w:t>UL reception at every RACH occasion, even if there is no PRACH transmission initiated by UE.</w:t>
      </w:r>
    </w:p>
    <w:p w14:paraId="2F16427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7: The processing overhead should be evaluated for solution 1C / 1D.</w:t>
      </w:r>
    </w:p>
    <w:p w14:paraId="5FF54292">
      <w:pPr>
        <w:spacing w:before="120" w:beforeLines="50" w:after="120"/>
        <w:jc w:val="both"/>
        <w:rPr>
          <w:rFonts w:hint="default" w:eastAsia="宋体"/>
          <w:bCs/>
          <w:color w:val="000000" w:themeColor="text1"/>
          <w:sz w:val="20"/>
          <w:szCs w:val="20"/>
          <w:lang w:val="en-US" w:eastAsia="zh-CN"/>
          <w14:textFill>
            <w14:solidFill>
              <w14:schemeClr w14:val="tx1"/>
            </w14:solidFill>
          </w14:textFill>
        </w:rPr>
      </w:pPr>
      <w:r>
        <w:rPr>
          <w:rFonts w:hint="eastAsia" w:eastAsia="宋体"/>
          <w:bCs/>
          <w:color w:val="000000" w:themeColor="text1"/>
          <w:sz w:val="20"/>
          <w:szCs w:val="20"/>
          <w:lang w:val="en-US" w:eastAsia="zh-CN"/>
          <w14:textFill>
            <w14:solidFill>
              <w14:schemeClr w14:val="tx1"/>
            </w14:solidFill>
          </w14:textFill>
        </w:rPr>
        <w:t>Sageran agrees that the mechanism of frequency adjustment command is helpful for UL frequency tuning during random access and normal UL transmission.</w:t>
      </w:r>
    </w:p>
    <w:p w14:paraId="6AE01EB4">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8: The mechanism of FAC should be introduced for random access and normal UL transmission.</w:t>
      </w:r>
    </w:p>
    <w:p w14:paraId="339CA678">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Sageran agrees that time offset can be estimated by broadcasting DL timestamp. But it depends that the local time in UE is synchronized or nearly synchronized with global time. For example, if GNSS time service is blocked for long time, the clock in UE should be considered not available.</w:t>
      </w:r>
    </w:p>
    <w:p w14:paraId="5CFD8863">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9: Solution 2C is applicable in the case that the error between UE local time and global time is limited.</w:t>
      </w:r>
    </w:p>
    <w:p w14:paraId="312DCCE1">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 xml:space="preserve">As the discussion above, both reference location and </w:t>
      </w:r>
      <w:r>
        <w:rPr>
          <w:rFonts w:ascii="Times New Roman" w:hAnsi="Times New Roman"/>
          <w:bCs/>
          <w:color w:val="000000" w:themeColor="text1"/>
          <w:sz w:val="20"/>
          <w:szCs w:val="20"/>
          <w:lang w:val="en-US"/>
          <w14:textFill>
            <w14:solidFill>
              <w14:schemeClr w14:val="tx1"/>
            </w14:solidFill>
          </w14:textFill>
        </w:rPr>
        <w:t>last acquired GNSS position</w:t>
      </w:r>
      <w:r>
        <w:rPr>
          <w:rFonts w:hint="eastAsia" w:eastAsia="宋体"/>
          <w:bCs/>
          <w:color w:val="000000" w:themeColor="text1"/>
          <w:sz w:val="20"/>
          <w:szCs w:val="20"/>
          <w:lang w:val="en-US" w:eastAsia="zh-CN"/>
          <w14:textFill>
            <w14:solidFill>
              <w14:schemeClr w14:val="tx1"/>
            </w14:solidFill>
          </w14:textFill>
        </w:rPr>
        <w:t xml:space="preserve"> should be used for </w:t>
      </w:r>
      <w:r>
        <w:rPr>
          <w:rFonts w:hint="eastAsia" w:hAnsi="Cambria Math" w:eastAsia="宋体"/>
          <w:sz w:val="20"/>
          <w:lang w:val="en-US" w:eastAsia="zh-CN"/>
        </w:rPr>
        <w:t>TA/Doppler estimation.</w:t>
      </w:r>
    </w:p>
    <w:p w14:paraId="59477569">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10: Solution 2D / 2E can both be used for service link time/frequency pre-compensation.</w:t>
      </w:r>
    </w:p>
    <w:p w14:paraId="7A9A2E2E">
      <w:pPr>
        <w:spacing w:before="120" w:beforeLines="50" w:after="120"/>
        <w:jc w:val="both"/>
        <w:rPr>
          <w:rFonts w:hint="default" w:hAnsi="Cambria Math" w:eastAsia="宋体"/>
          <w:sz w:val="20"/>
          <w:lang w:val="en-US" w:eastAsia="zh-CN"/>
        </w:rPr>
      </w:pPr>
    </w:p>
    <w:p w14:paraId="4376A8B2">
      <w:pPr>
        <w:pStyle w:val="4"/>
        <w:numPr>
          <w:ilvl w:val="1"/>
          <w:numId w:val="5"/>
        </w:numPr>
        <w:bidi w:val="0"/>
        <w:rPr>
          <w:rFonts w:hint="default"/>
          <w:lang w:val="en-US" w:eastAsia="zh-CN"/>
        </w:rPr>
      </w:pPr>
      <w:r>
        <w:rPr>
          <w:rFonts w:hint="default"/>
          <w:lang w:val="en-US" w:eastAsia="zh-CN"/>
        </w:rPr>
        <w:t>Potential solutions for connected mode</w:t>
      </w:r>
    </w:p>
    <w:p w14:paraId="6C4D6FAF">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In RAN1#123, the initial proposal of potential solutions for connected mode is as following description.</w:t>
      </w:r>
    </w:p>
    <w:p w14:paraId="35C29B8C">
      <w:pPr>
        <w:pStyle w:val="110"/>
        <w:ind w:left="0" w:firstLine="0"/>
        <w:rPr>
          <w:rFonts w:hint="default" w:ascii="Times New Roman" w:hAnsi="Times New Roman" w:cs="Times New Roman"/>
          <w:b/>
          <w:sz w:val="20"/>
          <w:szCs w:val="20"/>
          <w:lang w:val="en-US"/>
        </w:rPr>
      </w:pPr>
      <w:r>
        <w:rPr>
          <w:rFonts w:hint="default" w:ascii="Times New Roman" w:hAnsi="Times New Roman" w:cs="Times New Roman"/>
          <w:b/>
          <w:sz w:val="20"/>
          <w:szCs w:val="20"/>
          <w:highlight w:val="yellow"/>
          <w:lang w:val="en-US"/>
        </w:rPr>
        <w:t>Proposal 8-1-v0</w:t>
      </w:r>
    </w:p>
    <w:tbl>
      <w:tblPr>
        <w:tblStyle w:val="23"/>
        <w:tblW w:w="9611"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11"/>
      </w:tblGrid>
      <w:tr w14:paraId="35C29B9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11" w:type="dxa"/>
            <w:tcBorders>
              <w:top w:val="single" w:color="000000" w:sz="4" w:space="0"/>
              <w:left w:val="single" w:color="000000" w:sz="4" w:space="0"/>
              <w:bottom w:val="single" w:color="000000" w:sz="4" w:space="0"/>
              <w:right w:val="single" w:color="000000" w:sz="4" w:space="0"/>
            </w:tcBorders>
          </w:tcPr>
          <w:p w14:paraId="35C29B8D">
            <w:pP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For the study on GNSS resilient NR-NTN operation, RAN1 to consider the following enhancements for connected mode:</w:t>
            </w:r>
          </w:p>
          <w:p w14:paraId="35C29B8E">
            <w:pPr>
              <w:pStyle w:val="54"/>
              <w:numPr>
                <w:ilvl w:val="0"/>
                <w:numId w:val="12"/>
              </w:numPr>
              <w:tabs>
                <w:tab w:val="left" w:pos="0"/>
                <w:tab w:val="clear" w:pos="-840"/>
              </w:tabs>
              <w:ind w:left="-120" w:leftChars="0"/>
              <w:rPr>
                <w:rFonts w:hint="default" w:ascii="Times New Roman" w:hAnsi="Times New Roman" w:cs="Times New Roman"/>
                <w:b/>
                <w:sz w:val="20"/>
                <w:szCs w:val="20"/>
                <w:lang w:val="en-US"/>
              </w:rPr>
            </w:pPr>
            <w:r>
              <w:rPr>
                <w:rFonts w:hint="default" w:ascii="Times New Roman" w:hAnsi="Times New Roman" w:cs="Times New Roman"/>
                <w:b/>
                <w:sz w:val="20"/>
                <w:szCs w:val="20"/>
              </w:rPr>
              <w:t>Enhanced TA command (e.g., TA drift rate and TA drift variation rate)</w:t>
            </w:r>
          </w:p>
          <w:p w14:paraId="35C29B8F">
            <w:pPr>
              <w:pStyle w:val="54"/>
              <w:numPr>
                <w:ilvl w:val="0"/>
                <w:numId w:val="12"/>
              </w:numPr>
              <w:tabs>
                <w:tab w:val="left" w:pos="0"/>
                <w:tab w:val="clear" w:pos="-840"/>
              </w:tabs>
              <w:ind w:left="-120" w:leftChars="0"/>
              <w:rPr>
                <w:rFonts w:hint="default" w:ascii="Times New Roman" w:hAnsi="Times New Roman" w:cs="Times New Roman"/>
                <w:b/>
                <w:sz w:val="20"/>
                <w:szCs w:val="20"/>
                <w:lang w:val="en-US"/>
              </w:rPr>
            </w:pPr>
            <w:r>
              <w:rPr>
                <w:rFonts w:hint="default" w:ascii="Times New Roman" w:hAnsi="Times New Roman" w:cs="Times New Roman"/>
                <w:b/>
                <w:sz w:val="20"/>
                <w:szCs w:val="20"/>
              </w:rPr>
              <w:t>Frequency adjustment command in MAC CE i.e. closed-loop frequency control in connected mode</w:t>
            </w:r>
          </w:p>
          <w:p w14:paraId="35C29B90">
            <w:pPr>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Overhead reduction should be considered</w:t>
            </w:r>
          </w:p>
        </w:tc>
      </w:tr>
    </w:tbl>
    <w:p w14:paraId="56BF238F">
      <w:pPr>
        <w:spacing w:before="120" w:beforeLines="50" w:after="120"/>
        <w:jc w:val="both"/>
        <w:rPr>
          <w:rFonts w:hint="default" w:hAnsi="Cambria Math" w:eastAsia="宋体"/>
          <w:sz w:val="20"/>
          <w:lang w:val="en-US" w:eastAsia="zh-CN"/>
        </w:rPr>
      </w:pPr>
    </w:p>
    <w:p w14:paraId="2D769204">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 xml:space="preserve">According to the discussion above, TA/Doppler on service link can be estimated by reference location and </w:t>
      </w:r>
      <w:r>
        <w:rPr>
          <w:rFonts w:ascii="Times New Roman" w:hAnsi="Times New Roman"/>
          <w:bCs/>
          <w:color w:val="000000" w:themeColor="text1"/>
          <w:sz w:val="20"/>
          <w:szCs w:val="20"/>
          <w:lang w:val="en-US"/>
          <w14:textFill>
            <w14:solidFill>
              <w14:schemeClr w14:val="tx1"/>
            </w14:solidFill>
          </w14:textFill>
        </w:rPr>
        <w:t>last acquired GNSS position</w:t>
      </w:r>
      <w:r>
        <w:rPr>
          <w:rFonts w:hint="eastAsia" w:eastAsia="宋体"/>
          <w:bCs/>
          <w:color w:val="000000" w:themeColor="text1"/>
          <w:sz w:val="20"/>
          <w:szCs w:val="20"/>
          <w:lang w:val="en-US" w:eastAsia="zh-CN"/>
          <w14:textFill>
            <w14:solidFill>
              <w14:schemeClr w14:val="tx1"/>
            </w14:solidFill>
          </w14:textFill>
        </w:rPr>
        <w:t xml:space="preserve">. Other than feeder link, the UE position is not as fixed as satellite gateway and gNB has no knowledge on UE position and velocity. Therefore TA including drift rate and drift variation rate cannot provide accurate timing adjustment. </w:t>
      </w:r>
    </w:p>
    <w:p w14:paraId="3289CA5F">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11: Enhanced TA command (e.g., TA drift rate and TA drift variation rate) is not recommended.</w:t>
      </w:r>
    </w:p>
    <w:p w14:paraId="012153E5">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For FAC MAC CE, it might usually be sent along with TAC. The introduction of FAC would not increase the signaling message number but only payload length.</w:t>
      </w:r>
    </w:p>
    <w:p w14:paraId="307241ED">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6: The introduction of FAC only increases the signaling payload and does not impact the number of signaling message.</w:t>
      </w:r>
    </w:p>
    <w:p w14:paraId="2D07F9C1">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12: Frequency adjustment command in MAC CE i.e. closed-loop frequency control in connected mode can be supported.</w:t>
      </w:r>
    </w:p>
    <w:p w14:paraId="0D3F5A40">
      <w:pPr>
        <w:spacing w:before="120" w:beforeLines="50" w:after="120"/>
        <w:jc w:val="both"/>
        <w:rPr>
          <w:rFonts w:hint="default" w:hAnsi="Cambria Math" w:eastAsia="宋体"/>
          <w:sz w:val="20"/>
          <w:lang w:val="en-US" w:eastAsia="zh-CN"/>
        </w:rPr>
      </w:pPr>
    </w:p>
    <w:p w14:paraId="38A27852">
      <w:pPr>
        <w:pStyle w:val="4"/>
        <w:numPr>
          <w:ilvl w:val="1"/>
          <w:numId w:val="5"/>
        </w:numPr>
        <w:bidi w:val="0"/>
        <w:rPr>
          <w:rFonts w:hint="default"/>
          <w:lang w:val="en-US" w:eastAsia="zh-CN"/>
        </w:rPr>
      </w:pPr>
      <w:r>
        <w:rPr>
          <w:rFonts w:hint="default"/>
          <w:lang w:val="en-US" w:eastAsia="zh-CN"/>
        </w:rPr>
        <w:t>RAT dependent positioning method</w:t>
      </w:r>
    </w:p>
    <w:p w14:paraId="3B65BCFD">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In RAN1#123, the initial proposal of RAT dependent positioning method is as following description.</w:t>
      </w:r>
    </w:p>
    <w:p w14:paraId="35C29CBF">
      <w:pPr>
        <w:pStyle w:val="110"/>
        <w:ind w:left="0" w:firstLine="0"/>
        <w:rPr>
          <w:rFonts w:hint="default" w:ascii="Times New Roman" w:hAnsi="Times New Roman" w:cs="Times New Roman"/>
          <w:b/>
          <w:sz w:val="20"/>
          <w:szCs w:val="20"/>
          <w:lang w:val="en-US"/>
        </w:rPr>
      </w:pPr>
      <w:r>
        <w:rPr>
          <w:rFonts w:hint="default" w:ascii="Times New Roman" w:hAnsi="Times New Roman" w:cs="Times New Roman"/>
          <w:b/>
          <w:sz w:val="20"/>
          <w:szCs w:val="20"/>
          <w:highlight w:val="yellow"/>
          <w:lang w:val="en-US"/>
        </w:rPr>
        <w:t>Proposal 9-1-v0</w:t>
      </w:r>
    </w:p>
    <w:tbl>
      <w:tblPr>
        <w:tblStyle w:val="23"/>
        <w:tblW w:w="9611"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11"/>
      </w:tblGrid>
      <w:tr w14:paraId="35C29CC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11" w:type="dxa"/>
            <w:tcBorders>
              <w:top w:val="single" w:color="000000" w:sz="4" w:space="0"/>
              <w:left w:val="single" w:color="000000" w:sz="4" w:space="0"/>
              <w:bottom w:val="single" w:color="000000" w:sz="4" w:space="0"/>
              <w:right w:val="single" w:color="000000" w:sz="4" w:space="0"/>
            </w:tcBorders>
            <w:vAlign w:val="center"/>
          </w:tcPr>
          <w:p w14:paraId="35C29CC0">
            <w:pPr>
              <w:widowControl w:val="0"/>
              <w:rPr>
                <w:rFonts w:hint="default" w:ascii="Times New Roman" w:hAnsi="Times New Roman" w:eastAsia="宋体" w:cs="Times New Roman"/>
                <w:b/>
                <w:bCs/>
                <w:iCs/>
                <w:sz w:val="20"/>
                <w:szCs w:val="20"/>
                <w:lang w:eastAsia="zh-CN"/>
              </w:rPr>
            </w:pPr>
            <w:r>
              <w:rPr>
                <w:rFonts w:hint="default" w:ascii="Times New Roman" w:hAnsi="Times New Roman" w:eastAsia="宋体" w:cs="Times New Roman"/>
                <w:b/>
                <w:bCs/>
                <w:iCs/>
                <w:sz w:val="20"/>
                <w:szCs w:val="20"/>
                <w:lang w:eastAsia="zh-CN"/>
              </w:rPr>
              <w:t>For GNSS-resilient NTN operation, study DL-only UE-based positioning method, using DL-TDOA.</w:t>
            </w:r>
          </w:p>
          <w:p w14:paraId="35C29CC1">
            <w:pPr>
              <w:pStyle w:val="54"/>
              <w:widowControl w:val="0"/>
              <w:numPr>
                <w:ilvl w:val="0"/>
                <w:numId w:val="13"/>
              </w:numPr>
              <w:tabs>
                <w:tab w:val="left" w:pos="0"/>
                <w:tab w:val="clear" w:pos="-840"/>
              </w:tabs>
              <w:ind w:left="-120" w:leftChars="0"/>
              <w:rPr>
                <w:rFonts w:hint="default" w:ascii="Times New Roman" w:hAnsi="Times New Roman" w:eastAsia="宋体" w:cs="Times New Roman"/>
                <w:b/>
                <w:bCs/>
                <w:iCs/>
                <w:sz w:val="20"/>
                <w:szCs w:val="20"/>
              </w:rPr>
            </w:pPr>
            <w:r>
              <w:rPr>
                <w:rFonts w:hint="default" w:ascii="Times New Roman" w:hAnsi="Times New Roman" w:eastAsia="宋体" w:cs="Times New Roman"/>
                <w:b/>
                <w:bCs/>
                <w:iCs/>
                <w:sz w:val="20"/>
                <w:szCs w:val="20"/>
              </w:rPr>
              <w:t>This should include assessing the feasibility, evaluating the achievable UE position accuracy, and identifying any potential impacts on existing specifications.</w:t>
            </w:r>
          </w:p>
          <w:p w14:paraId="35C29CC2">
            <w:pPr>
              <w:pStyle w:val="54"/>
              <w:widowControl w:val="0"/>
              <w:numPr>
                <w:ilvl w:val="0"/>
                <w:numId w:val="13"/>
              </w:numPr>
              <w:tabs>
                <w:tab w:val="left" w:pos="0"/>
                <w:tab w:val="clear" w:pos="-840"/>
              </w:tabs>
              <w:ind w:left="-120" w:leftChars="0"/>
              <w:rPr>
                <w:rFonts w:hint="default" w:ascii="Times New Roman" w:hAnsi="Times New Roman" w:eastAsia="宋体" w:cs="Times New Roman"/>
                <w:b/>
                <w:bCs/>
                <w:iCs/>
                <w:sz w:val="20"/>
                <w:szCs w:val="20"/>
              </w:rPr>
            </w:pPr>
            <w:r>
              <w:rPr>
                <w:rFonts w:hint="default" w:ascii="Times New Roman" w:hAnsi="Times New Roman" w:eastAsia="宋体" w:cs="Times New Roman"/>
                <w:b/>
                <w:bCs/>
                <w:iCs/>
                <w:sz w:val="20"/>
                <w:szCs w:val="20"/>
              </w:rPr>
              <w:t>Evaluation assumptions and parameters should be defined during this meeting.</w:t>
            </w:r>
          </w:p>
          <w:p w14:paraId="35C29CC3">
            <w:pPr>
              <w:widowControl w:val="0"/>
              <w:spacing w:before="0" w:after="0"/>
              <w:rPr>
                <w:rFonts w:hint="default" w:ascii="Times New Roman" w:hAnsi="Times New Roman" w:eastAsia="宋体" w:cs="Times New Roman"/>
                <w:b/>
                <w:bCs/>
                <w:iCs/>
                <w:sz w:val="20"/>
                <w:szCs w:val="20"/>
                <w:lang w:eastAsia="zh-CN"/>
              </w:rPr>
            </w:pPr>
          </w:p>
        </w:tc>
      </w:tr>
    </w:tbl>
    <w:p w14:paraId="5C229AC4">
      <w:pPr>
        <w:spacing w:before="120" w:beforeLines="50" w:after="120"/>
        <w:jc w:val="both"/>
        <w:rPr>
          <w:rFonts w:hint="default" w:hAnsi="Cambria Math" w:eastAsia="宋体"/>
          <w:sz w:val="20"/>
          <w:lang w:val="en-US" w:eastAsia="zh-CN"/>
        </w:rPr>
      </w:pPr>
    </w:p>
    <w:p w14:paraId="3F2B66EC">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7:  For DL-only UE-based positioning method by DL-TDOA, there are following limitations.</w:t>
      </w:r>
    </w:p>
    <w:p w14:paraId="131FD082">
      <w:pPr>
        <w:numPr>
          <w:ilvl w:val="0"/>
          <w:numId w:val="14"/>
        </w:numPr>
        <w:spacing w:before="120" w:beforeLines="50" w:after="120"/>
        <w:ind w:left="420" w:leftChars="0" w:hanging="420" w:firstLineChars="0"/>
        <w:jc w:val="both"/>
        <w:rPr>
          <w:rFonts w:hint="eastAsia" w:hAnsi="Cambria Math" w:eastAsia="宋体"/>
          <w:b/>
          <w:bCs/>
          <w:i/>
          <w:iCs/>
          <w:sz w:val="20"/>
          <w:lang w:val="en-US" w:eastAsia="zh-CN"/>
        </w:rPr>
      </w:pPr>
      <w:r>
        <w:rPr>
          <w:rFonts w:hint="eastAsia" w:hAnsi="Cambria Math" w:eastAsia="宋体"/>
          <w:b/>
          <w:bCs/>
          <w:i/>
          <w:iCs/>
          <w:sz w:val="20"/>
          <w:lang w:val="en-US" w:eastAsia="zh-CN"/>
        </w:rPr>
        <w:t>It is not applicable for single satellite deployment.</w:t>
      </w:r>
    </w:p>
    <w:p w14:paraId="2D6D94C3">
      <w:pPr>
        <w:numPr>
          <w:ilvl w:val="0"/>
          <w:numId w:val="14"/>
        </w:numPr>
        <w:spacing w:before="120" w:beforeLines="50" w:after="120"/>
        <w:ind w:left="420" w:leftChars="0" w:hanging="420" w:firstLineChars="0"/>
        <w:jc w:val="both"/>
        <w:rPr>
          <w:rFonts w:hint="default" w:hAnsi="Cambria Math" w:eastAsia="宋体"/>
          <w:b/>
          <w:bCs/>
          <w:i/>
          <w:iCs/>
          <w:sz w:val="20"/>
          <w:lang w:val="en-US" w:eastAsia="zh-CN"/>
        </w:rPr>
      </w:pPr>
      <w:r>
        <w:rPr>
          <w:rFonts w:hint="eastAsia" w:hAnsi="Cambria Math" w:eastAsia="宋体"/>
          <w:b/>
          <w:bCs/>
          <w:i/>
          <w:iCs/>
          <w:sz w:val="20"/>
          <w:lang w:val="en-US" w:eastAsia="zh-CN"/>
        </w:rPr>
        <w:t>For multi-satellite deployment, the positioning performance depends on the relative positions between satellites and UE.</w:t>
      </w:r>
    </w:p>
    <w:p w14:paraId="39EBBEA3">
      <w:pPr>
        <w:numPr>
          <w:ilvl w:val="0"/>
          <w:numId w:val="14"/>
        </w:numPr>
        <w:spacing w:before="120" w:beforeLines="50" w:after="120"/>
        <w:ind w:left="420" w:leftChars="0" w:hanging="420" w:firstLineChars="0"/>
        <w:jc w:val="both"/>
        <w:rPr>
          <w:rFonts w:hint="eastAsia" w:hAnsi="Cambria Math" w:eastAsia="宋体"/>
          <w:b/>
          <w:bCs/>
          <w:i/>
          <w:iCs/>
          <w:sz w:val="20"/>
          <w:lang w:val="en-US" w:eastAsia="zh-CN"/>
        </w:rPr>
      </w:pPr>
      <w:r>
        <w:rPr>
          <w:rFonts w:hint="eastAsia" w:hAnsi="Cambria Math" w:eastAsia="宋体"/>
          <w:b/>
          <w:bCs/>
          <w:i/>
          <w:iCs/>
          <w:sz w:val="20"/>
          <w:lang w:val="en-US" w:eastAsia="zh-CN"/>
        </w:rPr>
        <w:t>All of the gNBs involved in positioning are required to be satellite payload regenerative and timing synchronized.</w:t>
      </w:r>
    </w:p>
    <w:p w14:paraId="1C00F358">
      <w:pPr>
        <w:numPr>
          <w:ilvl w:val="0"/>
          <w:numId w:val="14"/>
        </w:numPr>
        <w:spacing w:before="120" w:beforeLines="50" w:after="120"/>
        <w:ind w:left="420" w:leftChars="0" w:hanging="420" w:firstLineChars="0"/>
        <w:jc w:val="both"/>
        <w:rPr>
          <w:rFonts w:hint="eastAsia" w:hAnsi="Cambria Math" w:eastAsia="宋体"/>
          <w:b/>
          <w:bCs/>
          <w:i/>
          <w:iCs/>
          <w:sz w:val="20"/>
          <w:lang w:val="en-US" w:eastAsia="zh-CN"/>
        </w:rPr>
      </w:pPr>
      <w:r>
        <w:rPr>
          <w:rFonts w:hint="eastAsia" w:hAnsi="Cambria Math" w:eastAsia="宋体"/>
          <w:b/>
          <w:bCs/>
          <w:i/>
          <w:iCs/>
          <w:sz w:val="20"/>
          <w:lang w:val="en-US" w:eastAsia="zh-CN"/>
        </w:rPr>
        <w:t>The positioning feature in NTN UEs is required.</w:t>
      </w:r>
    </w:p>
    <w:p w14:paraId="7A373386">
      <w:pPr>
        <w:numPr>
          <w:ilvl w:val="0"/>
          <w:numId w:val="14"/>
        </w:numPr>
        <w:spacing w:before="120" w:beforeLines="50" w:after="120"/>
        <w:ind w:left="420" w:leftChars="0" w:hanging="420" w:firstLineChars="0"/>
        <w:jc w:val="both"/>
        <w:rPr>
          <w:rFonts w:hint="default" w:hAnsi="Cambria Math" w:eastAsia="宋体"/>
          <w:b/>
          <w:bCs/>
          <w:i/>
          <w:iCs/>
          <w:sz w:val="20"/>
          <w:lang w:val="en-US" w:eastAsia="zh-CN"/>
        </w:rPr>
      </w:pPr>
      <w:r>
        <w:rPr>
          <w:rFonts w:hint="eastAsia" w:hAnsi="Cambria Math" w:eastAsia="宋体"/>
          <w:b/>
          <w:bCs/>
          <w:i/>
          <w:iCs/>
          <w:sz w:val="20"/>
          <w:lang w:val="en-US" w:eastAsia="zh-CN"/>
        </w:rPr>
        <w:t>The complexity and overhead is higher than other solutions (e.g. the TA/Doppler estimation based on reference location and last GNSS position)</w:t>
      </w:r>
    </w:p>
    <w:p w14:paraId="2FFA5EE5">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13: It is suggested to lower the priority for DL-only UE-based positioning method by DL-TDOA in R20 study.</w:t>
      </w:r>
    </w:p>
    <w:p w14:paraId="4B51ECB3">
      <w:pPr>
        <w:spacing w:before="120" w:beforeLines="50" w:after="120"/>
        <w:jc w:val="both"/>
        <w:rPr>
          <w:rFonts w:hint="default" w:hAnsi="Cambria Math" w:eastAsia="宋体"/>
          <w:sz w:val="20"/>
          <w:lang w:val="en-US" w:eastAsia="zh-CN"/>
        </w:rPr>
      </w:pPr>
    </w:p>
    <w:p w14:paraId="5F539597">
      <w:pPr>
        <w:pStyle w:val="4"/>
        <w:numPr>
          <w:ilvl w:val="1"/>
          <w:numId w:val="5"/>
        </w:numPr>
        <w:bidi w:val="0"/>
        <w:rPr>
          <w:rFonts w:hint="default"/>
          <w:lang w:val="en-US" w:eastAsia="zh-CN"/>
        </w:rPr>
      </w:pPr>
      <w:r>
        <w:rPr>
          <w:rFonts w:hint="default"/>
          <w:lang w:val="en-US" w:eastAsia="zh-CN"/>
        </w:rPr>
        <w:t>GNSS Status reporting and control</w:t>
      </w:r>
    </w:p>
    <w:p w14:paraId="07E3FA95">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In RAN1#123, the initial proposal of GNSS Status reporting and control is as following description.</w:t>
      </w:r>
    </w:p>
    <w:p w14:paraId="35C29D82">
      <w:pPr>
        <w:pStyle w:val="110"/>
        <w:ind w:left="0" w:firstLine="0"/>
        <w:rPr>
          <w:rFonts w:ascii="Times New Roman" w:hAnsi="Times New Roman"/>
          <w:b/>
          <w:sz w:val="20"/>
          <w:szCs w:val="20"/>
          <w:lang w:val="en-US"/>
        </w:rPr>
      </w:pPr>
      <w:r>
        <w:rPr>
          <w:rFonts w:ascii="Times New Roman" w:hAnsi="Times New Roman"/>
          <w:b/>
          <w:sz w:val="20"/>
          <w:szCs w:val="20"/>
          <w:highlight w:val="yellow"/>
          <w:lang w:val="en-US"/>
        </w:rPr>
        <w:t>Proposal 10-1-v0</w:t>
      </w:r>
    </w:p>
    <w:tbl>
      <w:tblPr>
        <w:tblStyle w:val="23"/>
        <w:tblW w:w="9611"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9611"/>
      </w:tblGrid>
      <w:tr w14:paraId="35C29D8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11" w:type="dxa"/>
            <w:tcBorders>
              <w:top w:val="single" w:color="000000" w:sz="4" w:space="0"/>
              <w:left w:val="single" w:color="000000" w:sz="4" w:space="0"/>
              <w:bottom w:val="single" w:color="000000" w:sz="4" w:space="0"/>
              <w:right w:val="single" w:color="000000" w:sz="4" w:space="0"/>
            </w:tcBorders>
          </w:tcPr>
          <w:p w14:paraId="35C29D83">
            <w:pPr>
              <w:rPr>
                <w:rFonts w:ascii="Times New Roman" w:hAnsi="Times New Roman"/>
                <w:b/>
                <w:sz w:val="20"/>
                <w:szCs w:val="20"/>
                <w:lang w:eastAsia="zh-CN"/>
              </w:rPr>
            </w:pPr>
            <w:r>
              <w:rPr>
                <w:rFonts w:ascii="Times New Roman" w:hAnsi="Times New Roman"/>
                <w:b/>
                <w:sz w:val="20"/>
                <w:szCs w:val="20"/>
                <w:lang w:eastAsia="zh-CN"/>
              </w:rPr>
              <w:t>RAN1 to study network/UE methods for detecting GNSS loss, including reporting of GNSS status and mechanisms for transitioning operational modes e.g., from a GNSS based mode to GNSS resilient mode.</w:t>
            </w:r>
          </w:p>
        </w:tc>
      </w:tr>
    </w:tbl>
    <w:p w14:paraId="70FE93B3">
      <w:pPr>
        <w:spacing w:before="120" w:beforeLines="50" w:after="120"/>
        <w:jc w:val="both"/>
        <w:rPr>
          <w:rFonts w:hint="default" w:hAnsi="Cambria Math" w:eastAsia="宋体"/>
          <w:sz w:val="20"/>
          <w:lang w:val="en-US" w:eastAsia="zh-CN"/>
        </w:rPr>
      </w:pPr>
    </w:p>
    <w:p w14:paraId="5415A667">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14: GNSS status reporting from UE to network should be supported.</w:t>
      </w:r>
    </w:p>
    <w:p w14:paraId="430258C7">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15: GNSS status can be reported via MAC CE Timing Advance Reporting by redefining a reserved bit as following</w:t>
      </w:r>
    </w:p>
    <w:p w14:paraId="3DC98026">
      <w:pPr>
        <w:spacing w:before="120" w:beforeLines="50" w:after="120"/>
        <w:jc w:val="center"/>
        <w:rPr>
          <w:rFonts w:hint="default" w:hAnsi="Cambria Math" w:eastAsia="宋体"/>
          <w:b/>
          <w:bCs/>
          <w:i/>
          <w:iCs/>
          <w:sz w:val="20"/>
          <w:lang w:val="en-US" w:eastAsia="zh-CN"/>
        </w:rPr>
      </w:pPr>
      <w:r>
        <w:rPr>
          <w:rFonts w:ascii="宋体" w:hAnsi="宋体" w:eastAsia="宋体" w:cs="宋体"/>
          <w:sz w:val="24"/>
          <w:szCs w:val="24"/>
        </w:rPr>
        <w:drawing>
          <wp:inline distT="0" distB="0" distL="114300" distR="114300">
            <wp:extent cx="3629025" cy="134302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629025" cy="1343025"/>
                    </a:xfrm>
                    <a:prstGeom prst="rect">
                      <a:avLst/>
                    </a:prstGeom>
                    <a:noFill/>
                    <a:ln w="9525">
                      <a:noFill/>
                    </a:ln>
                  </pic:spPr>
                </pic:pic>
              </a:graphicData>
            </a:graphic>
          </wp:inline>
        </w:drawing>
      </w:r>
    </w:p>
    <w:p w14:paraId="5264233D">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Where the field GS denotes the GNSS status, 0/1 for available/unavailable status respectively.</w:t>
      </w:r>
    </w:p>
    <w:p w14:paraId="74B4D8D1">
      <w:pPr>
        <w:spacing w:before="120" w:beforeLines="50" w:after="120"/>
        <w:jc w:val="both"/>
        <w:rPr>
          <w:rFonts w:hint="default" w:hAnsi="Cambria Math" w:eastAsia="宋体"/>
          <w:b/>
          <w:bCs/>
          <w:i/>
          <w:iCs/>
          <w:sz w:val="20"/>
          <w:lang w:val="en-US" w:eastAsia="zh-CN"/>
        </w:rPr>
      </w:pPr>
    </w:p>
    <w:bookmarkEnd w:id="4"/>
    <w:bookmarkEnd w:id="5"/>
    <w:p w14:paraId="2B55703B">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val="0"/>
          <w:bCs w:val="0"/>
          <w:kern w:val="0"/>
          <w:sz w:val="36"/>
          <w:szCs w:val="20"/>
          <w:lang w:val="fr-FR" w:eastAsia="zh-CN"/>
        </w:rPr>
        <w:t>Conclusion</w:t>
      </w:r>
    </w:p>
    <w:p w14:paraId="07BF4601">
      <w:pPr>
        <w:spacing w:before="120" w:beforeLines="50" w:after="120"/>
        <w:jc w:val="both"/>
        <w:rPr>
          <w:rFonts w:hAnsi="Cambria Math" w:eastAsia="宋体"/>
          <w:sz w:val="20"/>
          <w:lang w:eastAsia="zh-CN"/>
        </w:rPr>
      </w:pPr>
      <w:r>
        <w:rPr>
          <w:rFonts w:hAnsi="Cambria Math" w:eastAsia="宋体"/>
          <w:sz w:val="20"/>
          <w:lang w:eastAsia="zh-CN"/>
        </w:rPr>
        <w:t xml:space="preserve">In this contribution, we provide our views on the support of </w:t>
      </w:r>
      <w:r>
        <w:rPr>
          <w:rFonts w:hint="eastAsia" w:hAnsi="Cambria Math" w:eastAsia="宋体"/>
          <w:sz w:val="20"/>
          <w:lang w:eastAsia="zh-CN"/>
        </w:rPr>
        <w:t>NR-NTN GNSS resilience</w:t>
      </w:r>
      <w:r>
        <w:rPr>
          <w:rFonts w:hAnsi="Cambria Math" w:eastAsia="宋体"/>
          <w:sz w:val="20"/>
          <w:lang w:eastAsia="zh-CN"/>
        </w:rPr>
        <w:t>. According to the discussions, we have the following observations and proposals:</w:t>
      </w:r>
    </w:p>
    <w:p w14:paraId="5E0FBBAD">
      <w:pPr>
        <w:spacing w:before="120" w:beforeLines="50" w:after="120"/>
        <w:jc w:val="both"/>
        <w:rPr>
          <w:rFonts w:hint="eastAsia" w:hAnsi="Cambria Math" w:eastAsia="宋体"/>
          <w:b/>
          <w:bCs/>
          <w:i/>
          <w:iCs/>
          <w:sz w:val="20"/>
          <w:lang w:val="en-US" w:eastAsia="zh-CN"/>
        </w:rPr>
      </w:pPr>
    </w:p>
    <w:p w14:paraId="39890486">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Observation 1: Assistance information of common TA/Doppler in service link may not applicable due to diverse UE positions and velocities.</w:t>
      </w:r>
    </w:p>
    <w:p w14:paraId="0B8EACA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 Assistance information of (moving) reference location is applicable for (quasi) earth fixed cell or moving cell.</w:t>
      </w:r>
    </w:p>
    <w:p w14:paraId="7CE19659">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2: The last UE positioning information should be considered for TA/Doppler coarse estimation based on reference location.</w:t>
      </w:r>
    </w:p>
    <w:p w14:paraId="6B64E6BB">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2: It is feasible for NTN UE to estimate downlink frequency offset by calculating the difference between Rx frequency and Tx frequency of synchronization signal.</w:t>
      </w:r>
    </w:p>
    <w:p w14:paraId="12630CE2">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3: The frequency offset in NTN radio link is comparable with the spacing of GSCN.</w:t>
      </w:r>
    </w:p>
    <w:p w14:paraId="3A08DB18">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Observation 4: An indication signaling of GSCN is necessary to avoid frequency confusion due to significant offset.</w:t>
      </w:r>
    </w:p>
    <w:p w14:paraId="43E4F434">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3: A new IE should be introduced in SIB19 to indicate the corresponding GSCN.</w:t>
      </w:r>
    </w:p>
    <w:p w14:paraId="669C005F">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4: The IE indicating frequency of SSB should provide at least 2 LSB of GSCN.</w:t>
      </w:r>
    </w:p>
    <w:p w14:paraId="6D3565F0">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 xml:space="preserve">Observation 5: The uplink frequency offset can be derived from downlink frequency offset by the formula of </w:t>
      </w:r>
      <m:oMath>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r>
          <m:rPr>
            <m:sty m:val="bi"/>
          </m:rPr>
          <w:rPr>
            <w:rFonts w:hint="eastAsia"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∙scalingFactor=(</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rx, 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tx, dl</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)∙(2∙</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ul,c</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sSub>
          <m:sSubPr>
            <m:ctrlPr>
              <w:rPr>
                <w:rFonts w:hint="default" w:ascii="Cambria Math" w:hAnsi="Cambria Math" w:eastAsia="宋体"/>
                <w:b/>
                <w:bCs/>
                <w:i/>
                <w:iCs/>
                <w:sz w:val="20"/>
                <w:lang w:val="en-US" w:eastAsia="zh-CN"/>
              </w:rPr>
            </m:ctrlPr>
          </m:sSubPr>
          <m:e>
            <m:r>
              <m:rPr>
                <m:sty m:val="bi"/>
              </m:rPr>
              <w:rPr>
                <w:rFonts w:hint="default" w:ascii="Cambria Math" w:hAnsi="Cambria Math" w:eastAsia="宋体"/>
                <w:sz w:val="20"/>
                <w:lang w:val="en-US" w:eastAsia="zh-CN"/>
              </w:rPr>
              <m:t>f</m:t>
            </m:r>
            <m:ctrlPr>
              <w:rPr>
                <w:rFonts w:hint="default" w:ascii="Cambria Math" w:hAnsi="Cambria Math" w:eastAsia="宋体"/>
                <w:b/>
                <w:bCs/>
                <w:i/>
                <w:iCs/>
                <w:sz w:val="20"/>
                <w:lang w:val="en-US" w:eastAsia="zh-CN"/>
              </w:rPr>
            </m:ctrlPr>
          </m:e>
          <m:sub>
            <m:r>
              <m:rPr>
                <m:sty m:val="bi"/>
              </m:rPr>
              <w:rPr>
                <w:rFonts w:hint="default" w:ascii="Cambria Math" w:hAnsi="Cambria Math" w:eastAsia="宋体"/>
                <w:sz w:val="20"/>
                <w:lang w:val="en-US" w:eastAsia="zh-CN"/>
              </w:rPr>
              <m:t>dl,c</m:t>
            </m:r>
            <m:ctrlPr>
              <w:rPr>
                <w:rFonts w:hint="default" w:ascii="Cambria Math" w:hAnsi="Cambria Math" w:eastAsia="宋体"/>
                <w:b/>
                <w:bCs/>
                <w:i/>
                <w:iCs/>
                <w:sz w:val="20"/>
                <w:lang w:val="en-US" w:eastAsia="zh-CN"/>
              </w:rPr>
            </m:ctrlPr>
          </m:sub>
        </m:sSub>
        <m:r>
          <m:rPr>
            <m:sty m:val="bi"/>
          </m:rPr>
          <w:rPr>
            <w:rFonts w:hint="default" w:ascii="Cambria Math" w:hAnsi="Cambria Math" w:eastAsia="宋体"/>
            <w:sz w:val="20"/>
            <w:lang w:val="en-US" w:eastAsia="zh-CN"/>
          </w:rPr>
          <m:t>)</m:t>
        </m:r>
      </m:oMath>
      <w:r>
        <w:rPr>
          <w:rFonts w:hint="eastAsia" w:hAnsi="Cambria Math" w:eastAsia="宋体"/>
          <w:b/>
          <w:bCs/>
          <w:i/>
          <w:iCs/>
          <w:sz w:val="20"/>
          <w:lang w:val="en-US" w:eastAsia="zh-CN"/>
        </w:rPr>
        <w:t>.</w:t>
      </w:r>
    </w:p>
    <w:p w14:paraId="595929A3">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5: UE can derive uplink frequency offset by receiving downlink frequency, transmitting downlink frequency (indicated GSCN), and scaling factor from DL and UL carrier frequency.</w:t>
      </w:r>
    </w:p>
    <w:p w14:paraId="032C31E9">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6: Solution 1A / 2B for PRACH should be supported.</w:t>
      </w:r>
    </w:p>
    <w:p w14:paraId="6CCB0D8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7: The processing overhead should be evaluated for solution 1C / 1D.</w:t>
      </w:r>
    </w:p>
    <w:p w14:paraId="1BC481F2">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8: The mechanism of FAC should be introduced for random access and normal UL transmission.</w:t>
      </w:r>
    </w:p>
    <w:p w14:paraId="3A199754">
      <w:pPr>
        <w:spacing w:before="120" w:beforeLines="50" w:after="120"/>
        <w:jc w:val="both"/>
        <w:rPr>
          <w:rFonts w:hint="default" w:hAnsi="Cambria Math" w:eastAsia="宋体"/>
          <w:sz w:val="20"/>
          <w:lang w:val="en-US" w:eastAsia="zh-CN"/>
        </w:rPr>
      </w:pPr>
      <w:r>
        <w:rPr>
          <w:rFonts w:hint="eastAsia" w:hAnsi="Cambria Math" w:eastAsia="宋体"/>
          <w:b/>
          <w:bCs/>
          <w:i/>
          <w:iCs/>
          <w:sz w:val="20"/>
          <w:lang w:val="en-US" w:eastAsia="zh-CN"/>
        </w:rPr>
        <w:t>Proposal 9: Solution 2C is applicable in the case that the error between UE local time and global time is limited.</w:t>
      </w:r>
    </w:p>
    <w:p w14:paraId="7FF6D2CC">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10: Solution 2D / 2E can both be used for service link time/frequency pre-compensation.</w:t>
      </w:r>
    </w:p>
    <w:p w14:paraId="1A582178">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11: Enhanced TA command (e.g., TA drift rate and TA drift variation rate) is not recommended.</w:t>
      </w:r>
    </w:p>
    <w:p w14:paraId="233A7C95">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6: The introduction of FAC only increases the signaling payload and does not impact the number of signaling message.</w:t>
      </w:r>
    </w:p>
    <w:p w14:paraId="2971404A">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12: Frequency adjustment command in MAC CE i.e. closed-loop frequency control in connected mode can be supported.</w:t>
      </w:r>
    </w:p>
    <w:p w14:paraId="48869D6C">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7:  For DL-only UE-based positioning method by DL-TDOA, there are following limitations.</w:t>
      </w:r>
    </w:p>
    <w:p w14:paraId="031EB9C0">
      <w:pPr>
        <w:numPr>
          <w:ilvl w:val="0"/>
          <w:numId w:val="14"/>
        </w:numPr>
        <w:spacing w:before="120" w:beforeLines="50" w:after="120"/>
        <w:ind w:left="420" w:leftChars="0" w:hanging="420" w:firstLineChars="0"/>
        <w:jc w:val="both"/>
        <w:rPr>
          <w:rFonts w:hint="eastAsia" w:hAnsi="Cambria Math" w:eastAsia="宋体"/>
          <w:b/>
          <w:bCs/>
          <w:i/>
          <w:iCs/>
          <w:sz w:val="20"/>
          <w:lang w:val="en-US" w:eastAsia="zh-CN"/>
        </w:rPr>
      </w:pPr>
      <w:r>
        <w:rPr>
          <w:rFonts w:hint="eastAsia" w:hAnsi="Cambria Math" w:eastAsia="宋体"/>
          <w:b/>
          <w:bCs/>
          <w:i/>
          <w:iCs/>
          <w:sz w:val="20"/>
          <w:lang w:val="en-US" w:eastAsia="zh-CN"/>
        </w:rPr>
        <w:t>It is not applicable for single satellite deployment.</w:t>
      </w:r>
    </w:p>
    <w:p w14:paraId="391F80E7">
      <w:pPr>
        <w:numPr>
          <w:ilvl w:val="0"/>
          <w:numId w:val="14"/>
        </w:numPr>
        <w:spacing w:before="120" w:beforeLines="50" w:after="120"/>
        <w:ind w:left="420" w:leftChars="0" w:hanging="420" w:firstLineChars="0"/>
        <w:jc w:val="both"/>
        <w:rPr>
          <w:rFonts w:hint="default" w:hAnsi="Cambria Math" w:eastAsia="宋体"/>
          <w:b/>
          <w:bCs/>
          <w:i/>
          <w:iCs/>
          <w:sz w:val="20"/>
          <w:lang w:val="en-US" w:eastAsia="zh-CN"/>
        </w:rPr>
      </w:pPr>
      <w:r>
        <w:rPr>
          <w:rFonts w:hint="eastAsia" w:hAnsi="Cambria Math" w:eastAsia="宋体"/>
          <w:b/>
          <w:bCs/>
          <w:i/>
          <w:iCs/>
          <w:sz w:val="20"/>
          <w:lang w:val="en-US" w:eastAsia="zh-CN"/>
        </w:rPr>
        <w:t>For multi-satellite deployment, the positioning performance depends on the relative positions between satellites and UE.</w:t>
      </w:r>
      <w:bookmarkStart w:id="15" w:name="_GoBack"/>
      <w:bookmarkEnd w:id="15"/>
    </w:p>
    <w:p w14:paraId="7AB98308">
      <w:pPr>
        <w:numPr>
          <w:ilvl w:val="0"/>
          <w:numId w:val="14"/>
        </w:numPr>
        <w:spacing w:before="120" w:beforeLines="50" w:after="120"/>
        <w:ind w:left="420" w:leftChars="0" w:hanging="420" w:firstLineChars="0"/>
        <w:jc w:val="both"/>
        <w:rPr>
          <w:rFonts w:hint="eastAsia" w:hAnsi="Cambria Math" w:eastAsia="宋体"/>
          <w:b/>
          <w:bCs/>
          <w:i/>
          <w:iCs/>
          <w:sz w:val="20"/>
          <w:lang w:val="en-US" w:eastAsia="zh-CN"/>
        </w:rPr>
      </w:pPr>
      <w:r>
        <w:rPr>
          <w:rFonts w:hint="eastAsia" w:hAnsi="Cambria Math" w:eastAsia="宋体"/>
          <w:b/>
          <w:bCs/>
          <w:i/>
          <w:iCs/>
          <w:sz w:val="20"/>
          <w:lang w:val="en-US" w:eastAsia="zh-CN"/>
        </w:rPr>
        <w:t>All of the gNBs involved in positioning are required to be satellite payload regenerative and timing synchronized.</w:t>
      </w:r>
    </w:p>
    <w:p w14:paraId="2EB71DF1">
      <w:pPr>
        <w:numPr>
          <w:ilvl w:val="0"/>
          <w:numId w:val="14"/>
        </w:numPr>
        <w:spacing w:before="120" w:beforeLines="50" w:after="120"/>
        <w:ind w:left="420" w:leftChars="0" w:hanging="420" w:firstLineChars="0"/>
        <w:jc w:val="both"/>
        <w:rPr>
          <w:rFonts w:hint="eastAsia" w:hAnsi="Cambria Math" w:eastAsia="宋体"/>
          <w:b/>
          <w:bCs/>
          <w:i/>
          <w:iCs/>
          <w:sz w:val="20"/>
          <w:lang w:val="en-US" w:eastAsia="zh-CN"/>
        </w:rPr>
      </w:pPr>
      <w:r>
        <w:rPr>
          <w:rFonts w:hint="eastAsia" w:hAnsi="Cambria Math" w:eastAsia="宋体"/>
          <w:b/>
          <w:bCs/>
          <w:i/>
          <w:iCs/>
          <w:sz w:val="20"/>
          <w:lang w:val="en-US" w:eastAsia="zh-CN"/>
        </w:rPr>
        <w:t>The positioning feature in NTN UEs is required.</w:t>
      </w:r>
    </w:p>
    <w:p w14:paraId="0789705F">
      <w:pPr>
        <w:numPr>
          <w:ilvl w:val="0"/>
          <w:numId w:val="14"/>
        </w:numPr>
        <w:spacing w:before="120" w:beforeLines="50" w:after="120"/>
        <w:ind w:left="420" w:leftChars="0" w:hanging="420" w:firstLineChars="0"/>
        <w:jc w:val="both"/>
        <w:rPr>
          <w:rFonts w:hint="default" w:hAnsi="Cambria Math" w:eastAsia="宋体"/>
          <w:b/>
          <w:bCs/>
          <w:i/>
          <w:iCs/>
          <w:sz w:val="20"/>
          <w:lang w:val="en-US" w:eastAsia="zh-CN"/>
        </w:rPr>
      </w:pPr>
      <w:r>
        <w:rPr>
          <w:rFonts w:hint="eastAsia" w:hAnsi="Cambria Math" w:eastAsia="宋体"/>
          <w:b/>
          <w:bCs/>
          <w:i/>
          <w:iCs/>
          <w:sz w:val="20"/>
          <w:lang w:val="en-US" w:eastAsia="zh-CN"/>
        </w:rPr>
        <w:t>The complexity and overhead is higher than other solutions (e.g. the TA/Doppler estimation based on reference location and last GNSS position)</w:t>
      </w:r>
    </w:p>
    <w:p w14:paraId="0506E884">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13: It is suggested to lower the priority for DL-only UE-based positioning method by DL-TDOA in R20 study.</w:t>
      </w:r>
    </w:p>
    <w:p w14:paraId="2C9E3EE7">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14: GNSS status reporting from UE to network should be supported.</w:t>
      </w:r>
    </w:p>
    <w:p w14:paraId="52FB30F4">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15: GNSS status can be reported via MAC CE Timing Advance Reporting by redefining a reserved bit as following</w:t>
      </w:r>
    </w:p>
    <w:p w14:paraId="3FDA22E7">
      <w:pPr>
        <w:spacing w:before="120" w:beforeLines="50" w:after="120"/>
        <w:jc w:val="center"/>
        <w:rPr>
          <w:rFonts w:hint="default" w:hAnsi="Cambria Math" w:eastAsia="宋体"/>
          <w:b/>
          <w:bCs/>
          <w:i/>
          <w:iCs/>
          <w:sz w:val="20"/>
          <w:lang w:val="en-US" w:eastAsia="zh-CN"/>
        </w:rPr>
      </w:pPr>
      <w:r>
        <w:rPr>
          <w:rFonts w:ascii="宋体" w:hAnsi="宋体" w:eastAsia="宋体" w:cs="宋体"/>
          <w:sz w:val="24"/>
          <w:szCs w:val="24"/>
        </w:rPr>
        <w:drawing>
          <wp:inline distT="0" distB="0" distL="114300" distR="114300">
            <wp:extent cx="3629025" cy="134302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3629025" cy="1343025"/>
                    </a:xfrm>
                    <a:prstGeom prst="rect">
                      <a:avLst/>
                    </a:prstGeom>
                    <a:noFill/>
                    <a:ln w="9525">
                      <a:noFill/>
                    </a:ln>
                  </pic:spPr>
                </pic:pic>
              </a:graphicData>
            </a:graphic>
          </wp:inline>
        </w:drawing>
      </w:r>
    </w:p>
    <w:p w14:paraId="537DA834">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Where the field GS denotes the GNSS status, 0/1 for available/unavailable status respectively.</w:t>
      </w:r>
    </w:p>
    <w:p w14:paraId="743C3692">
      <w:pPr>
        <w:spacing w:before="120" w:beforeLines="50" w:after="120"/>
        <w:jc w:val="both"/>
        <w:rPr>
          <w:rFonts w:hint="eastAsia" w:hAnsi="Cambria Math" w:eastAsia="宋体"/>
          <w:b/>
          <w:bCs/>
          <w:i/>
          <w:iCs/>
          <w:sz w:val="20"/>
          <w:lang w:val="en-US" w:eastAsia="zh-CN"/>
        </w:rPr>
      </w:pPr>
    </w:p>
    <w:bookmarkEnd w:id="2"/>
    <w:bookmarkEnd w:id="3"/>
    <w:p w14:paraId="5B040AA2">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bookmarkStart w:id="8" w:name="_Ref493791948"/>
      <w:bookmarkStart w:id="9" w:name="_Ref510367705"/>
      <w:bookmarkStart w:id="10" w:name="_Ref503565531"/>
      <w:bookmarkStart w:id="11" w:name="_Ref503565490"/>
      <w:r>
        <w:rPr>
          <w:rFonts w:ascii="Arial" w:hAnsi="Arial" w:eastAsia="宋体" w:cs="Times New Roman"/>
          <w:b w:val="0"/>
          <w:bCs w:val="0"/>
          <w:kern w:val="0"/>
          <w:sz w:val="36"/>
          <w:szCs w:val="20"/>
          <w:lang w:val="fr-FR" w:eastAsia="zh-CN"/>
        </w:rPr>
        <w:t>Reference</w:t>
      </w:r>
    </w:p>
    <w:bookmarkEnd w:id="8"/>
    <w:bookmarkEnd w:id="9"/>
    <w:bookmarkEnd w:id="10"/>
    <w:bookmarkEnd w:id="11"/>
    <w:p w14:paraId="243B11B2">
      <w:pPr>
        <w:pStyle w:val="3"/>
        <w:numPr>
          <w:ilvl w:val="0"/>
          <w:numId w:val="15"/>
        </w:numPr>
        <w:spacing w:after="0"/>
        <w:rPr>
          <w:rFonts w:eastAsiaTheme="minorEastAsia"/>
          <w:lang w:eastAsia="zh-CN"/>
        </w:rPr>
      </w:pPr>
      <w:bookmarkStart w:id="12" w:name="_Ref15855"/>
      <w:r>
        <w:rPr>
          <w:rFonts w:hint="eastAsia" w:eastAsiaTheme="minorEastAsia"/>
          <w:lang w:eastAsia="zh-CN"/>
        </w:rPr>
        <w:t>RP-251863</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New SID: Study GNSS resilient NR-NTN operation, June 9–13, 2025</w:t>
      </w:r>
      <w:bookmarkEnd w:id="12"/>
    </w:p>
    <w:p w14:paraId="4D95B0FC">
      <w:pPr>
        <w:pStyle w:val="3"/>
        <w:numPr>
          <w:ilvl w:val="0"/>
          <w:numId w:val="15"/>
        </w:numPr>
        <w:spacing w:after="0"/>
        <w:rPr>
          <w:rFonts w:eastAsiaTheme="minorEastAsia"/>
          <w:lang w:eastAsia="zh-CN"/>
        </w:rPr>
      </w:pPr>
      <w:bookmarkStart w:id="13" w:name="_Ref19397"/>
      <w:r>
        <w:rPr>
          <w:rFonts w:hint="eastAsia" w:eastAsiaTheme="minorEastAsia"/>
          <w:lang w:eastAsia="zh-CN"/>
        </w:rPr>
        <w:t>R1-2509610</w:t>
      </w:r>
      <w:r>
        <w:rPr>
          <w:rFonts w:hint="eastAsia" w:eastAsiaTheme="minorEastAsia"/>
          <w:lang w:val="en-US" w:eastAsia="zh-CN"/>
        </w:rPr>
        <w:tab/>
      </w:r>
      <w:bookmarkEnd w:id="13"/>
      <w:r>
        <w:rPr>
          <w:rFonts w:hint="eastAsia" w:eastAsiaTheme="minorEastAsia"/>
          <w:lang w:val="en-US" w:eastAsia="zh-CN"/>
        </w:rPr>
        <w:t>FL Summary #6 - NR-NTN GNSS resilience</w:t>
      </w:r>
    </w:p>
    <w:p w14:paraId="095F486E">
      <w:pPr>
        <w:pStyle w:val="3"/>
        <w:numPr>
          <w:ilvl w:val="0"/>
          <w:numId w:val="15"/>
        </w:numPr>
        <w:spacing w:after="0"/>
        <w:rPr>
          <w:rFonts w:eastAsiaTheme="minorEastAsia"/>
          <w:lang w:eastAsia="zh-CN"/>
        </w:rPr>
      </w:pPr>
      <w:bookmarkStart w:id="14" w:name="_Ref21315"/>
      <w:r>
        <w:rPr>
          <w:rFonts w:hint="eastAsia" w:eastAsiaTheme="minorEastAsia"/>
          <w:lang w:eastAsia="zh-CN"/>
        </w:rPr>
        <w:t>R1-2505124</w:t>
      </w:r>
      <w:r>
        <w:rPr>
          <w:rFonts w:hint="eastAsia" w:eastAsiaTheme="minorEastAsia"/>
          <w:lang w:val="en-US" w:eastAsia="zh-CN"/>
        </w:rPr>
        <w:tab/>
      </w:r>
      <w:r>
        <w:rPr>
          <w:rFonts w:hint="eastAsia" w:eastAsiaTheme="minorEastAsia"/>
          <w:lang w:eastAsia="zh-CN"/>
        </w:rPr>
        <w:t>Discussion on NR-NTN GNSS resilience</w:t>
      </w:r>
      <w:bookmarkEnd w:id="14"/>
    </w:p>
    <w:p w14:paraId="31632871">
      <w:pPr>
        <w:pStyle w:val="3"/>
        <w:numPr>
          <w:ilvl w:val="0"/>
          <w:numId w:val="15"/>
        </w:numPr>
        <w:spacing w:after="0"/>
        <w:rPr>
          <w:rFonts w:eastAsiaTheme="minorEastAsia"/>
          <w:lang w:eastAsia="zh-CN"/>
        </w:rPr>
      </w:pPr>
      <w:r>
        <w:rPr>
          <w:rFonts w:hint="eastAsia" w:eastAsiaTheme="minorEastAsia"/>
          <w:lang w:eastAsia="zh-CN"/>
        </w:rPr>
        <w:t>R1-2507130</w:t>
      </w:r>
      <w:r>
        <w:rPr>
          <w:rFonts w:hint="eastAsia" w:eastAsiaTheme="minorEastAsia"/>
          <w:lang w:val="en-US" w:eastAsia="zh-CN"/>
        </w:rPr>
        <w:tab/>
      </w:r>
      <w:r>
        <w:rPr>
          <w:rFonts w:hint="eastAsia" w:eastAsiaTheme="minorEastAsia"/>
          <w:lang w:eastAsia="zh-CN"/>
        </w:rPr>
        <w:t>Discussion on NR-NTN GNSS resilience</w:t>
      </w:r>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C21FB"/>
    <w:multiLevelType w:val="singleLevel"/>
    <w:tmpl w:val="93FC21FB"/>
    <w:lvl w:ilvl="0" w:tentative="0">
      <w:start w:val="1"/>
      <w:numFmt w:val="bullet"/>
      <w:lvlText w:val=""/>
      <w:lvlJc w:val="left"/>
      <w:pPr>
        <w:ind w:left="420" w:hanging="420"/>
      </w:pPr>
      <w:rPr>
        <w:rFonts w:hint="default" w:ascii="Wingdings" w:hAnsi="Wingdings"/>
      </w:rPr>
    </w:lvl>
  </w:abstractNum>
  <w:abstractNum w:abstractNumId="1">
    <w:nsid w:val="B1DEC6E8"/>
    <w:multiLevelType w:val="singleLevel"/>
    <w:tmpl w:val="B1DEC6E8"/>
    <w:lvl w:ilvl="0" w:tentative="0">
      <w:start w:val="1"/>
      <w:numFmt w:val="bullet"/>
      <w:lvlText w:val=""/>
      <w:lvlJc w:val="left"/>
      <w:pPr>
        <w:ind w:left="420" w:hanging="420"/>
      </w:pPr>
      <w:rPr>
        <w:rFonts w:hint="default" w:ascii="Wingdings" w:hAnsi="Wingdings"/>
      </w:rPr>
    </w:lvl>
  </w:abstractNum>
  <w:abstractNum w:abstractNumId="2">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3">
    <w:nsid w:val="04B2426A"/>
    <w:multiLevelType w:val="multilevel"/>
    <w:tmpl w:val="04B2426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1F117EE4"/>
    <w:multiLevelType w:val="multilevel"/>
    <w:tmpl w:val="1F117EE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49DF3A7D"/>
    <w:multiLevelType w:val="multilevel"/>
    <w:tmpl w:val="49DF3A7D"/>
    <w:lvl w:ilvl="0" w:tentative="0">
      <w:start w:val="1"/>
      <w:numFmt w:val="bullet"/>
      <w:lvlText w:val="-"/>
      <w:lvlJc w:val="left"/>
      <w:pPr>
        <w:tabs>
          <w:tab w:val="left" w:pos="-840"/>
        </w:tabs>
        <w:ind w:left="-120" w:hanging="360"/>
      </w:pPr>
      <w:rPr>
        <w:rFonts w:hint="default" w:ascii="Times" w:hAnsi="Times"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cs="Wingdings"/>
      </w:rPr>
    </w:lvl>
    <w:lvl w:ilvl="3" w:tentative="0">
      <w:start w:val="1"/>
      <w:numFmt w:val="bullet"/>
      <w:lvlText w:val=""/>
      <w:lvlJc w:val="left"/>
      <w:pPr>
        <w:tabs>
          <w:tab w:val="left" w:pos="-840"/>
        </w:tabs>
        <w:ind w:left="2040" w:hanging="360"/>
      </w:pPr>
      <w:rPr>
        <w:rFonts w:hint="default" w:ascii="Symbol" w:hAnsi="Symbol" w:cs="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cs="Wingdings"/>
      </w:rPr>
    </w:lvl>
    <w:lvl w:ilvl="6" w:tentative="0">
      <w:start w:val="1"/>
      <w:numFmt w:val="bullet"/>
      <w:lvlText w:val=""/>
      <w:lvlJc w:val="left"/>
      <w:pPr>
        <w:tabs>
          <w:tab w:val="left" w:pos="-840"/>
        </w:tabs>
        <w:ind w:left="4200" w:hanging="360"/>
      </w:pPr>
      <w:rPr>
        <w:rFonts w:hint="default" w:ascii="Symbol" w:hAnsi="Symbol" w:cs="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cs="Wingdings"/>
      </w:rPr>
    </w:lvl>
  </w:abstractNum>
  <w:abstractNum w:abstractNumId="7">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0C23A9C"/>
    <w:multiLevelType w:val="multilevel"/>
    <w:tmpl w:val="60C23A9C"/>
    <w:lvl w:ilvl="0" w:tentative="0">
      <w:start w:val="1"/>
      <w:numFmt w:val="bullet"/>
      <w:lvlText w:val="-"/>
      <w:lvlJc w:val="left"/>
      <w:pPr>
        <w:tabs>
          <w:tab w:val="left" w:pos="-840"/>
        </w:tabs>
        <w:ind w:left="-120" w:hanging="360"/>
      </w:pPr>
      <w:rPr>
        <w:rFonts w:hint="default" w:ascii="Times" w:hAnsi="Times"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cs="Wingdings"/>
      </w:rPr>
    </w:lvl>
    <w:lvl w:ilvl="3" w:tentative="0">
      <w:start w:val="1"/>
      <w:numFmt w:val="bullet"/>
      <w:lvlText w:val=""/>
      <w:lvlJc w:val="left"/>
      <w:pPr>
        <w:tabs>
          <w:tab w:val="left" w:pos="-840"/>
        </w:tabs>
        <w:ind w:left="2040" w:hanging="360"/>
      </w:pPr>
      <w:rPr>
        <w:rFonts w:hint="default" w:ascii="Symbol" w:hAnsi="Symbol" w:cs="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cs="Wingdings"/>
      </w:rPr>
    </w:lvl>
    <w:lvl w:ilvl="6" w:tentative="0">
      <w:start w:val="1"/>
      <w:numFmt w:val="bullet"/>
      <w:lvlText w:val=""/>
      <w:lvlJc w:val="left"/>
      <w:pPr>
        <w:tabs>
          <w:tab w:val="left" w:pos="-840"/>
        </w:tabs>
        <w:ind w:left="4200" w:hanging="360"/>
      </w:pPr>
      <w:rPr>
        <w:rFonts w:hint="default" w:ascii="Symbol" w:hAnsi="Symbol" w:cs="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cs="Wingdings"/>
      </w:rPr>
    </w:lvl>
  </w:abstractNum>
  <w:abstractNum w:abstractNumId="9">
    <w:nsid w:val="6C205846"/>
    <w:multiLevelType w:val="multilevel"/>
    <w:tmpl w:val="6C205846"/>
    <w:lvl w:ilvl="0" w:tentative="0">
      <w:start w:val="1"/>
      <w:numFmt w:val="bullet"/>
      <w:lvlText w:val="-"/>
      <w:lvlJc w:val="left"/>
      <w:pPr>
        <w:tabs>
          <w:tab w:val="left" w:pos="-420"/>
        </w:tabs>
        <w:ind w:left="-60" w:hanging="360"/>
      </w:pPr>
      <w:rPr>
        <w:rFonts w:hint="default" w:ascii="Times" w:hAnsi="Times" w:cs="Times"/>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cs="Wingdings"/>
      </w:rPr>
    </w:lvl>
    <w:lvl w:ilvl="3" w:tentative="0">
      <w:start w:val="1"/>
      <w:numFmt w:val="bullet"/>
      <w:lvlText w:val=""/>
      <w:lvlJc w:val="left"/>
      <w:pPr>
        <w:tabs>
          <w:tab w:val="left" w:pos="-420"/>
        </w:tabs>
        <w:ind w:left="2100" w:hanging="360"/>
      </w:pPr>
      <w:rPr>
        <w:rFonts w:hint="default" w:ascii="Symbol" w:hAnsi="Symbol" w:cs="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cs="Wingdings"/>
      </w:rPr>
    </w:lvl>
    <w:lvl w:ilvl="6" w:tentative="0">
      <w:start w:val="1"/>
      <w:numFmt w:val="bullet"/>
      <w:lvlText w:val=""/>
      <w:lvlJc w:val="left"/>
      <w:pPr>
        <w:tabs>
          <w:tab w:val="left" w:pos="-420"/>
        </w:tabs>
        <w:ind w:left="4260" w:hanging="360"/>
      </w:pPr>
      <w:rPr>
        <w:rFonts w:hint="default" w:ascii="Symbol" w:hAnsi="Symbol" w:cs="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cs="Wingdings"/>
      </w:rPr>
    </w:lvl>
  </w:abstractNum>
  <w:abstractNum w:abstractNumId="10">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99A4B7E"/>
    <w:multiLevelType w:val="multilevel"/>
    <w:tmpl w:val="799A4B7E"/>
    <w:lvl w:ilvl="0" w:tentative="0">
      <w:start w:val="1"/>
      <w:numFmt w:val="bullet"/>
      <w:lvlText w:val="-"/>
      <w:lvlJc w:val="left"/>
      <w:pPr>
        <w:tabs>
          <w:tab w:val="left" w:pos="0"/>
        </w:tabs>
        <w:ind w:left="720" w:hanging="360"/>
      </w:pPr>
      <w:rPr>
        <w:rFonts w:hint="default" w:ascii="宋体" w:hAnsi="宋体" w:cs="宋体"/>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1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3"/>
  </w:num>
  <w:num w:numId="3">
    <w:abstractNumId w:val="2"/>
  </w:num>
  <w:num w:numId="4">
    <w:abstractNumId w:val="12"/>
  </w:num>
  <w:num w:numId="5">
    <w:abstractNumId w:val="10"/>
  </w:num>
  <w:num w:numId="6">
    <w:abstractNumId w:val="7"/>
  </w:num>
  <w:num w:numId="7">
    <w:abstractNumId w:val="5"/>
  </w:num>
  <w:num w:numId="8">
    <w:abstractNumId w:val="3"/>
  </w:num>
  <w:num w:numId="9">
    <w:abstractNumId w:val="1"/>
  </w:num>
  <w:num w:numId="10">
    <w:abstractNumId w:val="11"/>
  </w:num>
  <w:num w:numId="11">
    <w:abstractNumId w:val="9"/>
  </w:num>
  <w:num w:numId="12">
    <w:abstractNumId w:val="8"/>
  </w:num>
  <w:num w:numId="13">
    <w:abstractNumId w:val="6"/>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345124A"/>
    <w:rsid w:val="049A4496"/>
    <w:rsid w:val="0723322C"/>
    <w:rsid w:val="074C07DC"/>
    <w:rsid w:val="09FA7FEE"/>
    <w:rsid w:val="0E73356F"/>
    <w:rsid w:val="10090E2D"/>
    <w:rsid w:val="107B4AAE"/>
    <w:rsid w:val="12382D56"/>
    <w:rsid w:val="12B955FF"/>
    <w:rsid w:val="12F17558"/>
    <w:rsid w:val="16C51E1D"/>
    <w:rsid w:val="1808590F"/>
    <w:rsid w:val="190029FB"/>
    <w:rsid w:val="19F14EC7"/>
    <w:rsid w:val="21B8252F"/>
    <w:rsid w:val="23D73753"/>
    <w:rsid w:val="24CF3CBF"/>
    <w:rsid w:val="24EB2D99"/>
    <w:rsid w:val="26623D7E"/>
    <w:rsid w:val="290E6EF5"/>
    <w:rsid w:val="2AA31C51"/>
    <w:rsid w:val="2EF10167"/>
    <w:rsid w:val="383212A4"/>
    <w:rsid w:val="3E0A51BA"/>
    <w:rsid w:val="3F260D98"/>
    <w:rsid w:val="41390FB4"/>
    <w:rsid w:val="42993ED1"/>
    <w:rsid w:val="436B215F"/>
    <w:rsid w:val="578E488B"/>
    <w:rsid w:val="5BF87F98"/>
    <w:rsid w:val="5E67230C"/>
    <w:rsid w:val="60A351E0"/>
    <w:rsid w:val="66DF3B52"/>
    <w:rsid w:val="6B240CFF"/>
    <w:rsid w:val="70197BC1"/>
    <w:rsid w:val="73EE0BE7"/>
    <w:rsid w:val="77670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 w:type="paragraph" w:customStyle="1" w:styleId="110">
    <w:name w:val="Doc-text2"/>
    <w:basedOn w:val="1"/>
    <w:qFormat/>
    <w:uiPriority w:val="0"/>
    <w:pPr>
      <w:tabs>
        <w:tab w:val="left" w:pos="1622"/>
      </w:tabs>
      <w:ind w:left="1622" w:hanging="363"/>
    </w:pPr>
    <w:rPr>
      <w:rFonts w:ascii="Arial" w:hAnsi="Arial" w:eastAsia="MS Mincho"/>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05DA-414F-4369-B969-5AB1BB854730}">
  <ds:schemaRefs/>
</ds:datastoreItem>
</file>

<file path=customXml/itemProps2.xml><?xml version="1.0" encoding="utf-8"?>
<ds:datastoreItem xmlns:ds="http://schemas.openxmlformats.org/officeDocument/2006/customXml" ds:itemID="{52C90FEF-724D-4022-90EC-759E68E9C7F9}">
  <ds:schemaRefs/>
</ds:datastoreItem>
</file>

<file path=customXml/itemProps3.xml><?xml version="1.0" encoding="utf-8"?>
<ds:datastoreItem xmlns:ds="http://schemas.openxmlformats.org/officeDocument/2006/customXml" ds:itemID="{4ED2EE91-F727-4CDC-94CB-97E2136A9708}">
  <ds:schemaRefs/>
</ds:datastoreItem>
</file>

<file path=customXml/itemProps4.xml><?xml version="1.0" encoding="utf-8"?>
<ds:datastoreItem xmlns:ds="http://schemas.openxmlformats.org/officeDocument/2006/customXml" ds:itemID="{504B7358-D542-41B5-B290-57365EE42DE5}">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8</Pages>
  <Words>718</Words>
  <Characters>3643</Characters>
  <Lines>210</Lines>
  <Paragraphs>115</Paragraphs>
  <TotalTime>4</TotalTime>
  <ScaleCrop>false</ScaleCrop>
  <LinksUpToDate>false</LinksUpToDate>
  <CharactersWithSpaces>4316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2026-01-20T00:55:05Z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2052-12.1.0.24034</vt:lpwstr>
  </property>
  <property fmtid="{D5CDD505-2E9C-101B-9397-08002B2CF9AE}" pid="9" name="ICV">
    <vt:lpwstr>FFBD8D6884B542F0B03D1AD63C6786A7_13</vt:lpwstr>
  </property>
  <property fmtid="{D5CDD505-2E9C-101B-9397-08002B2CF9AE}" pid="10" name="KSOTemplateDocerSaveRecord">
    <vt:lpwstr>eyJoZGlkIjoiOTI3OTgxNWU0NDljN2RmNWU1MGJhZjY3MGI5NzQ0MzkiLCJ1c2VySWQiOiI2MTY3ODQ5OTEifQ==</vt:lpwstr>
  </property>
</Properties>
</file>